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BD40" w14:textId="10ED532C" w:rsidR="006C15F9" w:rsidRPr="00BE7593" w:rsidRDefault="00FA0B39" w:rsidP="006C15F9">
      <w:pPr>
        <w:rPr>
          <w:rFonts w:cstheme="minorHAnsi"/>
          <w:b/>
          <w:bCs/>
          <w:color w:val="000000"/>
          <w:sz w:val="20"/>
          <w:szCs w:val="20"/>
          <w:shd w:val="clear" w:color="auto" w:fill="FFFFFF"/>
        </w:rPr>
      </w:pPr>
      <w:r>
        <w:rPr>
          <w:rFonts w:cstheme="minorHAnsi"/>
          <w:b/>
          <w:bCs/>
          <w:color w:val="000000"/>
          <w:sz w:val="20"/>
          <w:szCs w:val="20"/>
          <w:shd w:val="clear" w:color="auto" w:fill="FFFFFF"/>
        </w:rPr>
        <w:t xml:space="preserve">Examples of </w:t>
      </w:r>
      <w:r w:rsidR="006C15F9" w:rsidRPr="00BE7593">
        <w:rPr>
          <w:rFonts w:cstheme="minorHAnsi"/>
          <w:b/>
          <w:bCs/>
          <w:color w:val="000000"/>
          <w:sz w:val="20"/>
          <w:szCs w:val="20"/>
          <w:shd w:val="clear" w:color="auto" w:fill="FFFFFF"/>
        </w:rPr>
        <w:t xml:space="preserve">Content </w:t>
      </w:r>
      <w:r>
        <w:rPr>
          <w:rFonts w:cstheme="minorHAnsi"/>
          <w:b/>
          <w:bCs/>
          <w:color w:val="000000"/>
          <w:sz w:val="20"/>
          <w:szCs w:val="20"/>
          <w:shd w:val="clear" w:color="auto" w:fill="FFFFFF"/>
        </w:rPr>
        <w:t>on Cultural Linguistic Competency and Implicit Bias</w:t>
      </w:r>
    </w:p>
    <w:p w14:paraId="6C471D89" w14:textId="3E74E6D6" w:rsidR="006C15F9" w:rsidRPr="00BE7593" w:rsidRDefault="00FA0B39" w:rsidP="006C15F9">
      <w:pPr>
        <w:rPr>
          <w:rFonts w:cstheme="minorHAnsi"/>
          <w:color w:val="000000"/>
          <w:sz w:val="20"/>
          <w:szCs w:val="20"/>
          <w:shd w:val="clear" w:color="auto" w:fill="FFFFFF"/>
        </w:rPr>
      </w:pPr>
      <w:r>
        <w:rPr>
          <w:rFonts w:cstheme="minorHAnsi"/>
          <w:color w:val="000000"/>
          <w:sz w:val="20"/>
          <w:szCs w:val="20"/>
          <w:shd w:val="clear" w:color="auto" w:fill="FFFFFF"/>
        </w:rPr>
        <w:t>The content below was developed by TDC Patient Safety Risk Managers to fulfill AB 241 and AB</w:t>
      </w:r>
      <w:r w:rsidR="002841D0">
        <w:rPr>
          <w:rFonts w:cstheme="minorHAnsi"/>
          <w:color w:val="000000"/>
          <w:sz w:val="20"/>
          <w:szCs w:val="20"/>
          <w:shd w:val="clear" w:color="auto" w:fill="FFFFFF"/>
        </w:rPr>
        <w:t xml:space="preserve"> 1195.</w:t>
      </w:r>
    </w:p>
    <w:p w14:paraId="1F274BF9" w14:textId="6CE9AD24" w:rsidR="00BA6A1A" w:rsidRPr="00BE7593" w:rsidRDefault="00BA6A1A" w:rsidP="006C15F9">
      <w:pPr>
        <w:rPr>
          <w:rFonts w:cstheme="minorHAnsi"/>
          <w:i/>
          <w:iCs/>
          <w:color w:val="000000"/>
          <w:sz w:val="20"/>
          <w:szCs w:val="20"/>
          <w:shd w:val="clear" w:color="auto" w:fill="FFFFFF"/>
        </w:rPr>
      </w:pPr>
      <w:r w:rsidRPr="00BE7593">
        <w:rPr>
          <w:rFonts w:cstheme="minorHAnsi"/>
          <w:i/>
          <w:iCs/>
          <w:color w:val="000000"/>
          <w:sz w:val="20"/>
          <w:szCs w:val="20"/>
          <w:shd w:val="clear" w:color="auto" w:fill="FFFFFF"/>
        </w:rPr>
        <w:t xml:space="preserve">Note: Check all links to ensure they are still </w:t>
      </w:r>
      <w:proofErr w:type="gramStart"/>
      <w:r w:rsidRPr="00BE7593">
        <w:rPr>
          <w:rFonts w:cstheme="minorHAnsi"/>
          <w:i/>
          <w:iCs/>
          <w:color w:val="000000"/>
          <w:sz w:val="20"/>
          <w:szCs w:val="20"/>
          <w:shd w:val="clear" w:color="auto" w:fill="FFFFFF"/>
        </w:rPr>
        <w:t>live</w:t>
      </w:r>
      <w:proofErr w:type="gramEnd"/>
      <w:r w:rsidRPr="00BE7593">
        <w:rPr>
          <w:rFonts w:cstheme="minorHAnsi"/>
          <w:i/>
          <w:iCs/>
          <w:color w:val="000000"/>
          <w:sz w:val="20"/>
          <w:szCs w:val="20"/>
          <w:shd w:val="clear" w:color="auto" w:fill="FFFFFF"/>
        </w:rPr>
        <w:t>.</w:t>
      </w:r>
      <w:r w:rsidR="00B85159" w:rsidRPr="00BE7593">
        <w:rPr>
          <w:rFonts w:cstheme="minorHAnsi"/>
          <w:i/>
          <w:iCs/>
          <w:color w:val="000000"/>
          <w:sz w:val="20"/>
          <w:szCs w:val="20"/>
          <w:shd w:val="clear" w:color="auto" w:fill="FFFFFF"/>
        </w:rPr>
        <w:t xml:space="preserve"> </w:t>
      </w:r>
      <w:r w:rsidR="008F2918" w:rsidRPr="00BE7593">
        <w:rPr>
          <w:rFonts w:cstheme="minorHAnsi"/>
          <w:i/>
          <w:iCs/>
          <w:color w:val="000000"/>
          <w:sz w:val="20"/>
          <w:szCs w:val="20"/>
          <w:shd w:val="clear" w:color="auto" w:fill="FFFFFF"/>
        </w:rPr>
        <w:t>Some of this content may have text copied directly from source material</w:t>
      </w:r>
      <w:r w:rsidR="00816FA3">
        <w:rPr>
          <w:rFonts w:cstheme="minorHAnsi"/>
          <w:i/>
          <w:iCs/>
          <w:color w:val="000000"/>
          <w:sz w:val="20"/>
          <w:szCs w:val="20"/>
          <w:shd w:val="clear" w:color="auto" w:fill="FFFFFF"/>
        </w:rPr>
        <w:t xml:space="preserve"> and need citations</w:t>
      </w:r>
      <w:r w:rsidR="008F2918" w:rsidRPr="00BE7593">
        <w:rPr>
          <w:rFonts w:cstheme="minorHAnsi"/>
          <w:i/>
          <w:iCs/>
          <w:color w:val="000000"/>
          <w:sz w:val="20"/>
          <w:szCs w:val="20"/>
          <w:shd w:val="clear" w:color="auto" w:fill="FFFFFF"/>
        </w:rPr>
        <w:t>.</w:t>
      </w:r>
    </w:p>
    <w:tbl>
      <w:tblPr>
        <w:tblStyle w:val="TableGrid"/>
        <w:tblW w:w="0" w:type="auto"/>
        <w:tblLook w:val="04A0" w:firstRow="1" w:lastRow="0" w:firstColumn="1" w:lastColumn="0" w:noHBand="0" w:noVBand="1"/>
      </w:tblPr>
      <w:tblGrid>
        <w:gridCol w:w="9440"/>
      </w:tblGrid>
      <w:tr w:rsidR="006C15F9" w:rsidRPr="00BE7593" w14:paraId="2999DA3B" w14:textId="77777777" w:rsidTr="00A63981">
        <w:tc>
          <w:tcPr>
            <w:tcW w:w="9440" w:type="dxa"/>
          </w:tcPr>
          <w:p w14:paraId="7F450714"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Communication between the provider and the patient/family was the second most common in relation to the follow-up instructions, such as to when to come back for the appointment.</w:t>
            </w:r>
          </w:p>
          <w:p w14:paraId="162D8347"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 xml:space="preserve">Cultural and linguistic determinants of care can affect the issue of non-adherence and follow- up instructions. Cultural competence by healthcare professionals is critically important </w:t>
            </w:r>
            <w:proofErr w:type="gramStart"/>
            <w:r w:rsidRPr="00BE7593">
              <w:rPr>
                <w:rFonts w:eastAsiaTheme="minorEastAsia" w:cstheme="minorHAnsi"/>
                <w:sz w:val="20"/>
                <w:szCs w:val="20"/>
              </w:rPr>
              <w:t>in order to</w:t>
            </w:r>
            <w:proofErr w:type="gramEnd"/>
            <w:r w:rsidRPr="00BE7593">
              <w:rPr>
                <w:rFonts w:eastAsiaTheme="minorEastAsia" w:cstheme="minorHAnsi"/>
                <w:sz w:val="20"/>
                <w:szCs w:val="20"/>
              </w:rPr>
              <w:t xml:space="preserve"> help eliminate health disparities and social disadvantages for every patient, regardless of ethnicity or race.</w:t>
            </w:r>
          </w:p>
          <w:p w14:paraId="6B11FBC1"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Clinicians must understand how each patient’s sociocultural background affects health beliefs and behavior. Understanding these types of social determinants of health will allow clinicians to better care for multicultural populations. A focus on health as opposed to healthcare supports the practitioner in addressing social determinants of health.</w:t>
            </w:r>
          </w:p>
          <w:p w14:paraId="2BF40776" w14:textId="77777777" w:rsidR="006C15F9" w:rsidRPr="00BE7593" w:rsidRDefault="006C15F9" w:rsidP="00A63981">
            <w:pPr>
              <w:rPr>
                <w:rFonts w:eastAsiaTheme="minorEastAsia" w:cstheme="minorHAnsi"/>
                <w:sz w:val="20"/>
                <w:szCs w:val="20"/>
              </w:rPr>
            </w:pPr>
          </w:p>
          <w:p w14:paraId="4BCF0685"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 xml:space="preserve">Screening tools are available to build consideration of social determinants of health into practice. In its FPM Journal blog, the American Academy of Family Physicians outlines “Three Tools for Screening for Social Determinants of Health. </w:t>
            </w:r>
            <w:hyperlink r:id="rId7" w:history="1">
              <w:r w:rsidRPr="00BE7593">
                <w:rPr>
                  <w:rStyle w:val="Hyperlink"/>
                  <w:rFonts w:cstheme="minorHAnsi"/>
                  <w:sz w:val="20"/>
                  <w:szCs w:val="20"/>
                </w:rPr>
                <w:t>Three Tools for Screening for Social Determinants of Health</w:t>
              </w:r>
            </w:hyperlink>
          </w:p>
          <w:p w14:paraId="6039EF2F" w14:textId="77777777" w:rsidR="006C15F9" w:rsidRPr="00BE7593" w:rsidRDefault="006C15F9" w:rsidP="00A63981">
            <w:pPr>
              <w:rPr>
                <w:rFonts w:cstheme="minorHAnsi"/>
                <w:color w:val="000000"/>
                <w:sz w:val="20"/>
                <w:szCs w:val="20"/>
                <w:shd w:val="clear" w:color="auto" w:fill="FFFFFF"/>
              </w:rPr>
            </w:pPr>
          </w:p>
        </w:tc>
      </w:tr>
      <w:tr w:rsidR="006C15F9" w:rsidRPr="00BE7593" w14:paraId="7112F47E" w14:textId="77777777" w:rsidTr="00A63981">
        <w:tc>
          <w:tcPr>
            <w:tcW w:w="9440" w:type="dxa"/>
          </w:tcPr>
          <w:p w14:paraId="0E55E274" w14:textId="77777777" w:rsidR="006C15F9" w:rsidRPr="00BE7593" w:rsidRDefault="006C15F9" w:rsidP="00A63981">
            <w:pPr>
              <w:rPr>
                <w:rFonts w:eastAsiaTheme="minorEastAsia" w:cstheme="minorHAnsi"/>
                <w:b/>
                <w:bCs/>
                <w:sz w:val="20"/>
                <w:szCs w:val="20"/>
              </w:rPr>
            </w:pPr>
            <w:r w:rsidRPr="00BE7593">
              <w:rPr>
                <w:rFonts w:eastAsiaTheme="minorEastAsia" w:cstheme="minorHAnsi"/>
                <w:b/>
                <w:bCs/>
                <w:sz w:val="20"/>
                <w:szCs w:val="20"/>
              </w:rPr>
              <w:t>Reducing Risks with Multilingual Patients</w:t>
            </w:r>
          </w:p>
          <w:p w14:paraId="0FDD2787"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With many patients speaking a language other than English at home, language barriers raise the risk for an adverse event and that can lead to claims from multilingual patients. This can arise from not understanding medication use, the inability to comprehend an informed consent discussion, or being able to follow discharge or treatment plan instructions. When cultures and languages create barriers, physicians are unable to deliver the care they have been trained to provide. Culturally competent care depends on resolving systemic and individual cultural differences that can create conflicts and misunderstandings. If the provider is unable to elicit patient information and negotiate appropriate care, negative health consequences may occur.</w:t>
            </w:r>
          </w:p>
          <w:p w14:paraId="3242200A" w14:textId="77777777" w:rsidR="006C15F9" w:rsidRPr="00BE7593" w:rsidRDefault="006C15F9" w:rsidP="00A63981">
            <w:pPr>
              <w:rPr>
                <w:rFonts w:cstheme="minorHAnsi"/>
                <w:color w:val="000000"/>
                <w:sz w:val="20"/>
                <w:szCs w:val="20"/>
                <w:shd w:val="clear" w:color="auto" w:fill="FFFFFF"/>
              </w:rPr>
            </w:pPr>
          </w:p>
          <w:p w14:paraId="2DD3E9BD" w14:textId="77777777" w:rsidR="006C15F9" w:rsidRPr="00BE7593" w:rsidRDefault="006C15F9" w:rsidP="00A63981">
            <w:pPr>
              <w:rPr>
                <w:rFonts w:cstheme="minorHAnsi"/>
                <w:color w:val="000000"/>
                <w:sz w:val="20"/>
                <w:szCs w:val="20"/>
                <w:shd w:val="clear" w:color="auto" w:fill="FFFFFF"/>
              </w:rPr>
            </w:pPr>
            <w:r w:rsidRPr="00BE7593">
              <w:rPr>
                <w:rFonts w:cstheme="minorHAnsi"/>
                <w:color w:val="000000"/>
                <w:sz w:val="20"/>
                <w:szCs w:val="20"/>
                <w:shd w:val="clear" w:color="auto" w:fill="FFFFFF"/>
              </w:rPr>
              <w:t>2</w:t>
            </w:r>
            <w:r w:rsidRPr="00BE7593">
              <w:rPr>
                <w:rFonts w:cstheme="minorHAnsi"/>
                <w:color w:val="000000"/>
                <w:sz w:val="20"/>
                <w:szCs w:val="20"/>
                <w:shd w:val="clear" w:color="auto" w:fill="FFFFFF"/>
                <w:vertAlign w:val="superscript"/>
              </w:rPr>
              <w:t>nd</w:t>
            </w:r>
            <w:r w:rsidRPr="00BE7593">
              <w:rPr>
                <w:rFonts w:cstheme="minorHAnsi"/>
                <w:color w:val="000000"/>
                <w:sz w:val="20"/>
                <w:szCs w:val="20"/>
                <w:shd w:val="clear" w:color="auto" w:fill="FFFFFF"/>
              </w:rPr>
              <w:t xml:space="preserve"> Layer</w:t>
            </w:r>
          </w:p>
          <w:p w14:paraId="35BAC3CA"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 xml:space="preserve">Consider how to provide culturally responsive care by reading the following: </w:t>
            </w:r>
          </w:p>
          <w:p w14:paraId="58F5E4D6"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w:t>
            </w:r>
            <w:r w:rsidRPr="00BE7593">
              <w:rPr>
                <w:rFonts w:eastAsiaTheme="minorEastAsia" w:cstheme="minorHAnsi"/>
                <w:sz w:val="20"/>
                <w:szCs w:val="20"/>
              </w:rPr>
              <w:tab/>
              <w:t xml:space="preserve">Cultural Diversity Creates Language Barriers: Reducing Claims with Multilingual Patients </w:t>
            </w:r>
            <w:hyperlink r:id="rId8" w:history="1">
              <w:r w:rsidRPr="00BE7593">
                <w:rPr>
                  <w:rStyle w:val="Hyperlink"/>
                  <w:rFonts w:eastAsiaTheme="minorEastAsia" w:cstheme="minorHAnsi"/>
                  <w:sz w:val="20"/>
                  <w:szCs w:val="20"/>
                </w:rPr>
                <w:t>https://www.thedoctors.com/articles/cultural-diversity-creates-language-barriers-reducing-claims-with-multilingual-patients/</w:t>
              </w:r>
            </w:hyperlink>
          </w:p>
          <w:p w14:paraId="6C58D861" w14:textId="77777777" w:rsidR="006C15F9" w:rsidRPr="00BE7593" w:rsidRDefault="006C15F9" w:rsidP="00A63981">
            <w:pPr>
              <w:rPr>
                <w:rFonts w:eastAsiaTheme="minorEastAsia" w:cstheme="minorHAnsi"/>
                <w:sz w:val="20"/>
                <w:szCs w:val="20"/>
              </w:rPr>
            </w:pPr>
          </w:p>
          <w:p w14:paraId="2771FDFF" w14:textId="77777777" w:rsidR="006C15F9" w:rsidRPr="00BE7593" w:rsidRDefault="006C15F9" w:rsidP="00A63981">
            <w:pPr>
              <w:rPr>
                <w:rFonts w:eastAsiaTheme="minorEastAsia" w:cstheme="minorHAnsi"/>
                <w:sz w:val="20"/>
                <w:szCs w:val="20"/>
              </w:rPr>
            </w:pPr>
            <w:r w:rsidRPr="00BE7593">
              <w:rPr>
                <w:rFonts w:eastAsiaTheme="minorEastAsia" w:cstheme="minorHAnsi"/>
                <w:sz w:val="20"/>
                <w:szCs w:val="20"/>
              </w:rPr>
              <w:t>•</w:t>
            </w:r>
            <w:r w:rsidRPr="00BE7593">
              <w:rPr>
                <w:rFonts w:eastAsiaTheme="minorEastAsia" w:cstheme="minorHAnsi"/>
                <w:sz w:val="20"/>
                <w:szCs w:val="20"/>
              </w:rPr>
              <w:tab/>
              <w:t xml:space="preserve">Challenges of Cultural Diversity in Healthcare: Protect Your Patients and Yourself </w:t>
            </w:r>
            <w:hyperlink r:id="rId9" w:history="1">
              <w:r w:rsidRPr="00BE7593">
                <w:rPr>
                  <w:rStyle w:val="Hyperlink"/>
                  <w:rFonts w:eastAsiaTheme="minorEastAsia" w:cstheme="minorHAnsi"/>
                  <w:sz w:val="20"/>
                  <w:szCs w:val="20"/>
                </w:rPr>
                <w:t>https://www.thedoctors.com/articles/challenges-of-cultural-diversity-in-healthcare-protect-your-patients-and-yourself/</w:t>
              </w:r>
            </w:hyperlink>
          </w:p>
          <w:p w14:paraId="5B29E3BF" w14:textId="77777777" w:rsidR="006C15F9" w:rsidRPr="00BE7593" w:rsidRDefault="006C15F9" w:rsidP="00A63981">
            <w:pPr>
              <w:rPr>
                <w:rFonts w:cstheme="minorHAnsi"/>
                <w:color w:val="000000"/>
                <w:sz w:val="20"/>
                <w:szCs w:val="20"/>
                <w:shd w:val="clear" w:color="auto" w:fill="FFFFFF"/>
              </w:rPr>
            </w:pPr>
          </w:p>
        </w:tc>
      </w:tr>
      <w:tr w:rsidR="006C15F9" w:rsidRPr="00BE7593" w14:paraId="6524630E" w14:textId="77777777" w:rsidTr="00A63981">
        <w:tc>
          <w:tcPr>
            <w:tcW w:w="9440" w:type="dxa"/>
          </w:tcPr>
          <w:p w14:paraId="7F3A8B5E" w14:textId="77777777" w:rsidR="006C15F9" w:rsidRPr="00BE7593" w:rsidRDefault="006C15F9" w:rsidP="00A63981">
            <w:pPr>
              <w:rPr>
                <w:rFonts w:cstheme="minorHAnsi"/>
                <w:b/>
                <w:bCs/>
                <w:sz w:val="20"/>
                <w:szCs w:val="20"/>
              </w:rPr>
            </w:pPr>
            <w:r w:rsidRPr="00BE7593">
              <w:rPr>
                <w:rFonts w:cstheme="minorHAnsi"/>
                <w:b/>
                <w:bCs/>
                <w:sz w:val="20"/>
                <w:szCs w:val="20"/>
              </w:rPr>
              <w:t>Prevention: Strategies to Increase Understanding for Patients with Limited English Proficiency (LEP)</w:t>
            </w:r>
          </w:p>
          <w:p w14:paraId="04019042" w14:textId="77777777" w:rsidR="006C15F9" w:rsidRPr="00BE7593" w:rsidRDefault="006C15F9" w:rsidP="006C15F9">
            <w:pPr>
              <w:numPr>
                <w:ilvl w:val="0"/>
                <w:numId w:val="1"/>
              </w:numPr>
              <w:rPr>
                <w:rFonts w:cstheme="minorHAnsi"/>
                <w:sz w:val="20"/>
                <w:szCs w:val="20"/>
              </w:rPr>
            </w:pPr>
            <w:r w:rsidRPr="00BE7593">
              <w:rPr>
                <w:rFonts w:cstheme="minorHAnsi"/>
                <w:sz w:val="20"/>
                <w:szCs w:val="20"/>
              </w:rPr>
              <w:t>Determine patient’s level of understanding - Use the “Ask Me 3</w:t>
            </w:r>
            <w:r w:rsidRPr="00BE7593">
              <w:rPr>
                <w:rFonts w:cstheme="minorHAnsi"/>
                <w:sz w:val="20"/>
                <w:szCs w:val="20"/>
                <w:vertAlign w:val="superscript"/>
              </w:rPr>
              <w:t>®</w:t>
            </w:r>
            <w:r w:rsidRPr="00BE7593">
              <w:rPr>
                <w:rFonts w:cstheme="minorHAnsi"/>
                <w:sz w:val="20"/>
                <w:szCs w:val="20"/>
              </w:rPr>
              <w:t>” method to confirm patient’s understanding of your discussion. Ask the patient to respond in their own words their understanding of the following questions:</w:t>
            </w:r>
          </w:p>
          <w:p w14:paraId="4B07F83C" w14:textId="77777777" w:rsidR="006C15F9" w:rsidRPr="00BE7593" w:rsidRDefault="006C15F9" w:rsidP="006C15F9">
            <w:pPr>
              <w:numPr>
                <w:ilvl w:val="3"/>
                <w:numId w:val="2"/>
              </w:numPr>
              <w:rPr>
                <w:rFonts w:cstheme="minorHAnsi"/>
                <w:sz w:val="20"/>
                <w:szCs w:val="20"/>
              </w:rPr>
            </w:pPr>
            <w:r w:rsidRPr="00BE7593">
              <w:rPr>
                <w:rFonts w:cstheme="minorHAnsi"/>
                <w:b/>
                <w:bCs/>
                <w:sz w:val="20"/>
                <w:szCs w:val="20"/>
              </w:rPr>
              <w:t>What is my main problem?</w:t>
            </w:r>
          </w:p>
          <w:p w14:paraId="0BCB01D9" w14:textId="77777777" w:rsidR="006C15F9" w:rsidRPr="00BE7593" w:rsidRDefault="006C15F9" w:rsidP="006C15F9">
            <w:pPr>
              <w:numPr>
                <w:ilvl w:val="3"/>
                <w:numId w:val="2"/>
              </w:numPr>
              <w:rPr>
                <w:rFonts w:cstheme="minorHAnsi"/>
                <w:sz w:val="20"/>
                <w:szCs w:val="20"/>
              </w:rPr>
            </w:pPr>
            <w:r w:rsidRPr="00BE7593">
              <w:rPr>
                <w:rFonts w:cstheme="minorHAnsi"/>
                <w:b/>
                <w:bCs/>
                <w:sz w:val="20"/>
                <w:szCs w:val="20"/>
              </w:rPr>
              <w:t>What do I need to do?</w:t>
            </w:r>
          </w:p>
          <w:p w14:paraId="06129277" w14:textId="77777777" w:rsidR="006C15F9" w:rsidRPr="00BE7593" w:rsidRDefault="006C15F9" w:rsidP="006C15F9">
            <w:pPr>
              <w:numPr>
                <w:ilvl w:val="3"/>
                <w:numId w:val="2"/>
              </w:numPr>
              <w:rPr>
                <w:rFonts w:cstheme="minorHAnsi"/>
                <w:sz w:val="20"/>
                <w:szCs w:val="20"/>
              </w:rPr>
            </w:pPr>
            <w:r w:rsidRPr="00BE7593">
              <w:rPr>
                <w:rFonts w:cstheme="minorHAnsi"/>
                <w:b/>
                <w:bCs/>
                <w:sz w:val="20"/>
                <w:szCs w:val="20"/>
              </w:rPr>
              <w:t>Why is it important for me to do this?</w:t>
            </w:r>
          </w:p>
          <w:p w14:paraId="11898E4A" w14:textId="77777777" w:rsidR="006C15F9" w:rsidRPr="00BE7593" w:rsidRDefault="006C15F9" w:rsidP="006C15F9">
            <w:pPr>
              <w:numPr>
                <w:ilvl w:val="2"/>
                <w:numId w:val="2"/>
              </w:numPr>
              <w:tabs>
                <w:tab w:val="clear" w:pos="2160"/>
              </w:tabs>
              <w:ind w:left="792"/>
              <w:rPr>
                <w:rFonts w:cstheme="minorHAnsi"/>
                <w:sz w:val="20"/>
                <w:szCs w:val="20"/>
              </w:rPr>
            </w:pPr>
            <w:r w:rsidRPr="00BE7593">
              <w:rPr>
                <w:rFonts w:cstheme="minorHAnsi"/>
                <w:sz w:val="20"/>
                <w:szCs w:val="20"/>
              </w:rPr>
              <w:t>Evaluate patient’s ability to follow the home care plan - When providing written material, ask the patient to “teach back” by recalling an important piece of information. For example, “</w:t>
            </w:r>
            <w:r w:rsidRPr="00BE7593">
              <w:rPr>
                <w:rFonts w:cstheme="minorHAnsi"/>
                <w:i/>
                <w:iCs/>
                <w:sz w:val="20"/>
                <w:szCs w:val="20"/>
              </w:rPr>
              <w:t>Let’s talk about the information in item #2</w:t>
            </w:r>
            <w:r w:rsidRPr="00BE7593">
              <w:rPr>
                <w:rFonts w:cstheme="minorHAnsi"/>
                <w:sz w:val="20"/>
                <w:szCs w:val="20"/>
              </w:rPr>
              <w:t xml:space="preserve">. </w:t>
            </w:r>
            <w:r w:rsidRPr="00BE7593">
              <w:rPr>
                <w:rFonts w:cstheme="minorHAnsi"/>
                <w:i/>
                <w:iCs/>
                <w:sz w:val="20"/>
                <w:szCs w:val="20"/>
              </w:rPr>
              <w:t>How will you plan to do that</w:t>
            </w:r>
            <w:r w:rsidRPr="00BE7593">
              <w:rPr>
                <w:rFonts w:cstheme="minorHAnsi"/>
                <w:sz w:val="20"/>
                <w:szCs w:val="20"/>
              </w:rPr>
              <w:t>?”</w:t>
            </w:r>
          </w:p>
        </w:tc>
      </w:tr>
      <w:tr w:rsidR="006C15F9" w:rsidRPr="00BE7593" w14:paraId="688785B0" w14:textId="77777777" w:rsidTr="00A63981">
        <w:tc>
          <w:tcPr>
            <w:tcW w:w="9440" w:type="dxa"/>
          </w:tcPr>
          <w:p w14:paraId="3FF8F670" w14:textId="77777777" w:rsidR="006C15F9" w:rsidRPr="00BE7593" w:rsidRDefault="006C15F9" w:rsidP="00A63981">
            <w:pPr>
              <w:rPr>
                <w:rFonts w:cstheme="minorHAnsi"/>
                <w:b/>
                <w:bCs/>
                <w:sz w:val="20"/>
                <w:szCs w:val="20"/>
              </w:rPr>
            </w:pPr>
            <w:r w:rsidRPr="00BE7593">
              <w:rPr>
                <w:rFonts w:cstheme="minorHAnsi"/>
                <w:b/>
                <w:bCs/>
                <w:sz w:val="20"/>
                <w:szCs w:val="20"/>
              </w:rPr>
              <w:t xml:space="preserve">Health Literacy and Language Matter </w:t>
            </w:r>
          </w:p>
          <w:p w14:paraId="4D13052C" w14:textId="77777777" w:rsidR="006C15F9" w:rsidRPr="00BE7593" w:rsidRDefault="006C15F9" w:rsidP="00A63981">
            <w:pPr>
              <w:rPr>
                <w:rFonts w:cstheme="minorHAnsi"/>
                <w:sz w:val="20"/>
                <w:szCs w:val="20"/>
              </w:rPr>
            </w:pPr>
            <w:proofErr w:type="gramStart"/>
            <w:r w:rsidRPr="00BE7593">
              <w:rPr>
                <w:rFonts w:cstheme="minorHAnsi"/>
                <w:sz w:val="20"/>
                <w:szCs w:val="20"/>
              </w:rPr>
              <w:t>In order to</w:t>
            </w:r>
            <w:proofErr w:type="gramEnd"/>
            <w:r w:rsidRPr="00BE7593">
              <w:rPr>
                <w:rFonts w:cstheme="minorHAnsi"/>
                <w:sz w:val="20"/>
                <w:szCs w:val="20"/>
              </w:rPr>
              <w:t xml:space="preserve"> provide the best service to each patient, it is important to be aware of specific characteristics and needs that may vary patient by patient. These include patients’ level of health literacy and cultural background. </w:t>
            </w:r>
          </w:p>
          <w:p w14:paraId="6DBA44B2" w14:textId="77777777" w:rsidR="006C15F9" w:rsidRPr="00BE7593" w:rsidRDefault="006C15F9" w:rsidP="00A63981">
            <w:pPr>
              <w:rPr>
                <w:rFonts w:cstheme="minorHAnsi"/>
                <w:sz w:val="20"/>
                <w:szCs w:val="20"/>
              </w:rPr>
            </w:pPr>
          </w:p>
          <w:p w14:paraId="1DEA4718" w14:textId="77777777" w:rsidR="006C15F9" w:rsidRPr="00BE7593" w:rsidRDefault="006C15F9" w:rsidP="00A63981">
            <w:pPr>
              <w:rPr>
                <w:rFonts w:cstheme="minorHAnsi"/>
                <w:sz w:val="20"/>
                <w:szCs w:val="20"/>
              </w:rPr>
            </w:pPr>
            <w:r w:rsidRPr="00BE7593">
              <w:rPr>
                <w:rFonts w:cstheme="minorHAnsi"/>
                <w:sz w:val="20"/>
                <w:szCs w:val="20"/>
              </w:rPr>
              <w:t xml:space="preserve">Health literacy is defined by the </w:t>
            </w:r>
            <w:hyperlink r:id="rId10" w:history="1">
              <w:r w:rsidRPr="00BE7593">
                <w:rPr>
                  <w:rStyle w:val="Hyperlink"/>
                  <w:rFonts w:cstheme="minorHAnsi"/>
                  <w:sz w:val="20"/>
                  <w:szCs w:val="20"/>
                </w:rPr>
                <w:t>CDC</w:t>
              </w:r>
            </w:hyperlink>
            <w:r w:rsidRPr="00BE7593">
              <w:rPr>
                <w:rFonts w:cstheme="minorHAnsi"/>
                <w:sz w:val="20"/>
                <w:szCs w:val="20"/>
              </w:rPr>
              <w:t xml:space="preserve"> as the “ability to find, understand, and use information and services to inform health-related decisions and actions for themselves and others.” This is a change from the previous definition used in Healthy People 2010 and 2020. </w:t>
            </w:r>
          </w:p>
          <w:p w14:paraId="3FB622E2" w14:textId="77777777" w:rsidR="006C15F9" w:rsidRPr="00BE7593" w:rsidRDefault="006C15F9" w:rsidP="006C15F9">
            <w:pPr>
              <w:pStyle w:val="ListParagraph"/>
              <w:numPr>
                <w:ilvl w:val="0"/>
                <w:numId w:val="3"/>
              </w:numPr>
              <w:rPr>
                <w:rFonts w:cstheme="minorHAnsi"/>
                <w:sz w:val="20"/>
                <w:szCs w:val="20"/>
              </w:rPr>
            </w:pPr>
            <w:r w:rsidRPr="00BE7593">
              <w:rPr>
                <w:rFonts w:cstheme="minorHAnsi"/>
                <w:sz w:val="20"/>
                <w:szCs w:val="20"/>
              </w:rPr>
              <w:t xml:space="preserve">Print literacy is the ability to read, interpret and understand print information (such as patient education material, prescriptions, and medicine labels. </w:t>
            </w:r>
          </w:p>
          <w:p w14:paraId="496516A9" w14:textId="77777777" w:rsidR="006C15F9" w:rsidRPr="00BE7593" w:rsidRDefault="006C15F9" w:rsidP="006C15F9">
            <w:pPr>
              <w:pStyle w:val="ListParagraph"/>
              <w:numPr>
                <w:ilvl w:val="0"/>
                <w:numId w:val="3"/>
              </w:numPr>
              <w:rPr>
                <w:rFonts w:cstheme="minorHAnsi"/>
                <w:sz w:val="20"/>
                <w:szCs w:val="20"/>
              </w:rPr>
            </w:pPr>
            <w:r w:rsidRPr="00BE7593">
              <w:rPr>
                <w:rFonts w:cstheme="minorHAnsi"/>
                <w:sz w:val="20"/>
                <w:szCs w:val="20"/>
              </w:rPr>
              <w:t xml:space="preserve">Oral literacy is the ability to speak and listen effectively (such as during the physician—patient or staff-patient communications). </w:t>
            </w:r>
          </w:p>
          <w:p w14:paraId="46233413" w14:textId="77777777" w:rsidR="006C15F9" w:rsidRPr="00BE7593" w:rsidRDefault="006C15F9" w:rsidP="006C15F9">
            <w:pPr>
              <w:pStyle w:val="ListParagraph"/>
              <w:numPr>
                <w:ilvl w:val="0"/>
                <w:numId w:val="3"/>
              </w:numPr>
              <w:rPr>
                <w:rFonts w:cstheme="minorHAnsi"/>
                <w:sz w:val="20"/>
                <w:szCs w:val="20"/>
              </w:rPr>
            </w:pPr>
            <w:r w:rsidRPr="00BE7593">
              <w:rPr>
                <w:rFonts w:cstheme="minorHAnsi"/>
                <w:sz w:val="20"/>
                <w:szCs w:val="20"/>
              </w:rPr>
              <w:t xml:space="preserve">Numeracy is the being able to interpret quantitative information (such as dosing instructions, test results and understanding the probability of risk communication). </w:t>
            </w:r>
          </w:p>
          <w:p w14:paraId="4F919F35" w14:textId="77777777" w:rsidR="006C15F9" w:rsidRPr="00BE7593" w:rsidRDefault="006C15F9" w:rsidP="00A63981">
            <w:pPr>
              <w:pStyle w:val="ListParagraph"/>
              <w:rPr>
                <w:rFonts w:cstheme="minorHAnsi"/>
                <w:sz w:val="20"/>
                <w:szCs w:val="20"/>
              </w:rPr>
            </w:pPr>
          </w:p>
          <w:p w14:paraId="20959A15" w14:textId="77777777" w:rsidR="006C15F9" w:rsidRPr="00BE7593" w:rsidRDefault="006C15F9" w:rsidP="00A63981">
            <w:pPr>
              <w:pStyle w:val="ListParagraph"/>
              <w:ind w:left="0"/>
              <w:rPr>
                <w:rFonts w:cstheme="minorHAnsi"/>
                <w:sz w:val="20"/>
                <w:szCs w:val="20"/>
              </w:rPr>
            </w:pPr>
            <w:r w:rsidRPr="00BE7593">
              <w:rPr>
                <w:rFonts w:cstheme="minorHAnsi"/>
                <w:sz w:val="20"/>
                <w:szCs w:val="20"/>
              </w:rPr>
              <w:t xml:space="preserve">When thinking about these concepts question how you can better communicate with people of limited English proficiency or people who have limited vision or hearing. To avoid suits based on the Americans with Disability Act, read the following </w:t>
            </w:r>
            <w:hyperlink r:id="rId11" w:history="1">
              <w:r w:rsidRPr="00BE7593">
                <w:rPr>
                  <w:rStyle w:val="Hyperlink"/>
                  <w:rFonts w:cstheme="minorHAnsi"/>
                  <w:sz w:val="20"/>
                  <w:szCs w:val="20"/>
                </w:rPr>
                <w:t>article.</w:t>
              </w:r>
            </w:hyperlink>
            <w:r w:rsidRPr="00BE7593">
              <w:rPr>
                <w:rFonts w:cstheme="minorHAnsi"/>
                <w:sz w:val="20"/>
                <w:szCs w:val="20"/>
              </w:rPr>
              <w:t xml:space="preserve">  A follow up to this are frequently asked questions (</w:t>
            </w:r>
            <w:hyperlink r:id="rId12" w:history="1">
              <w:r w:rsidRPr="00BE7593">
                <w:rPr>
                  <w:rStyle w:val="Hyperlink"/>
                  <w:rFonts w:cstheme="minorHAnsi"/>
                  <w:sz w:val="20"/>
                  <w:szCs w:val="20"/>
                </w:rPr>
                <w:t>FAQs</w:t>
              </w:r>
            </w:hyperlink>
            <w:r w:rsidRPr="00BE7593">
              <w:rPr>
                <w:rFonts w:cstheme="minorHAnsi"/>
                <w:sz w:val="20"/>
                <w:szCs w:val="20"/>
              </w:rPr>
              <w:t xml:space="preserve">). </w:t>
            </w:r>
          </w:p>
          <w:p w14:paraId="2644EBB3" w14:textId="77777777" w:rsidR="006C15F9" w:rsidRPr="00BE7593" w:rsidRDefault="006C15F9" w:rsidP="00A63981">
            <w:pPr>
              <w:rPr>
                <w:rFonts w:cstheme="minorHAnsi"/>
                <w:color w:val="000000"/>
                <w:sz w:val="20"/>
                <w:szCs w:val="20"/>
                <w:shd w:val="clear" w:color="auto" w:fill="FFFFFF"/>
              </w:rPr>
            </w:pPr>
          </w:p>
          <w:p w14:paraId="3D130439" w14:textId="77777777" w:rsidR="006C15F9" w:rsidRPr="00BE7593" w:rsidRDefault="00994AD7" w:rsidP="00A63981">
            <w:pPr>
              <w:rPr>
                <w:rFonts w:cstheme="minorHAnsi"/>
                <w:sz w:val="20"/>
                <w:szCs w:val="20"/>
              </w:rPr>
            </w:pPr>
            <w:hyperlink r:id="rId13" w:history="1">
              <w:r w:rsidR="006C15F9" w:rsidRPr="00BE7593">
                <w:rPr>
                  <w:rStyle w:val="Hyperlink"/>
                  <w:rFonts w:cstheme="minorHAnsi"/>
                  <w:sz w:val="20"/>
                  <w:szCs w:val="20"/>
                </w:rPr>
                <w:t>https://www.ahrq.gov/health-literacy/improve/precautions/index.html</w:t>
              </w:r>
            </w:hyperlink>
          </w:p>
          <w:p w14:paraId="1D95E284" w14:textId="77777777" w:rsidR="006C15F9" w:rsidRPr="00BE7593" w:rsidRDefault="006C15F9" w:rsidP="00A63981">
            <w:pPr>
              <w:rPr>
                <w:rFonts w:cstheme="minorHAnsi"/>
                <w:sz w:val="20"/>
                <w:szCs w:val="20"/>
              </w:rPr>
            </w:pPr>
          </w:p>
          <w:p w14:paraId="1A1F9355" w14:textId="77777777" w:rsidR="006C15F9" w:rsidRPr="00BE7593" w:rsidRDefault="006C15F9" w:rsidP="00A63981">
            <w:pPr>
              <w:rPr>
                <w:rFonts w:cstheme="minorHAnsi"/>
                <w:sz w:val="20"/>
                <w:szCs w:val="20"/>
              </w:rPr>
            </w:pPr>
            <w:r w:rsidRPr="00BE7593">
              <w:rPr>
                <w:rFonts w:cstheme="minorHAnsi"/>
                <w:sz w:val="20"/>
                <w:szCs w:val="20"/>
              </w:rPr>
              <w:t xml:space="preserve">Baker DW. The meaning and the measure of health literacy. J Gen Intern Med. 2006 Aug;21(8):878-83. </w:t>
            </w:r>
            <w:proofErr w:type="spellStart"/>
            <w:r w:rsidRPr="00BE7593">
              <w:rPr>
                <w:rFonts w:cstheme="minorHAnsi"/>
                <w:sz w:val="20"/>
                <w:szCs w:val="20"/>
              </w:rPr>
              <w:t>doi</w:t>
            </w:r>
            <w:proofErr w:type="spellEnd"/>
            <w:r w:rsidRPr="00BE7593">
              <w:rPr>
                <w:rFonts w:cstheme="minorHAnsi"/>
                <w:sz w:val="20"/>
                <w:szCs w:val="20"/>
              </w:rPr>
              <w:t>: 10.1111/j.1525-1497.2006.</w:t>
            </w:r>
            <w:proofErr w:type="gramStart"/>
            <w:r w:rsidRPr="00BE7593">
              <w:rPr>
                <w:rFonts w:cstheme="minorHAnsi"/>
                <w:sz w:val="20"/>
                <w:szCs w:val="20"/>
              </w:rPr>
              <w:t>00540.x.</w:t>
            </w:r>
            <w:proofErr w:type="gramEnd"/>
            <w:r w:rsidRPr="00BE7593">
              <w:rPr>
                <w:rFonts w:cstheme="minorHAnsi"/>
                <w:sz w:val="20"/>
                <w:szCs w:val="20"/>
              </w:rPr>
              <w:t xml:space="preserve"> PMID: 16881951; PMCID: PMC1831571. </w:t>
            </w:r>
            <w:hyperlink r:id="rId14" w:history="1">
              <w:r w:rsidRPr="00BE7593">
                <w:rPr>
                  <w:rStyle w:val="Hyperlink"/>
                  <w:rFonts w:cstheme="minorHAnsi"/>
                  <w:sz w:val="20"/>
                  <w:szCs w:val="20"/>
                </w:rPr>
                <w:t>https://www.ncbi.nlm.nih.gov/pmc/articles/PMC1831571/</w:t>
              </w:r>
            </w:hyperlink>
          </w:p>
          <w:p w14:paraId="4863F241" w14:textId="77777777" w:rsidR="006C15F9" w:rsidRPr="00BE7593" w:rsidRDefault="006C15F9" w:rsidP="00A63981">
            <w:pPr>
              <w:rPr>
                <w:rFonts w:cstheme="minorHAnsi"/>
                <w:sz w:val="20"/>
                <w:szCs w:val="20"/>
              </w:rPr>
            </w:pPr>
          </w:p>
          <w:p w14:paraId="3D51814E" w14:textId="77777777" w:rsidR="006C15F9" w:rsidRPr="00BE7593" w:rsidRDefault="006C15F9" w:rsidP="00A63981">
            <w:pPr>
              <w:rPr>
                <w:rFonts w:cstheme="minorHAnsi"/>
                <w:sz w:val="20"/>
                <w:szCs w:val="20"/>
              </w:rPr>
            </w:pPr>
            <w:r w:rsidRPr="00BE7593">
              <w:rPr>
                <w:rFonts w:cstheme="minorHAnsi"/>
                <w:sz w:val="20"/>
                <w:szCs w:val="20"/>
              </w:rPr>
              <w:t xml:space="preserve">Rothman, RL, Montori, VM, et.al. Perspective: the role of numeracy in healthcare. 2008 Aug;13(6): 583-595. </w:t>
            </w:r>
            <w:hyperlink r:id="rId15" w:history="1">
              <w:r w:rsidRPr="00BE7593">
                <w:rPr>
                  <w:rStyle w:val="Hyperlink"/>
                  <w:rFonts w:cstheme="minorHAnsi"/>
                  <w:sz w:val="20"/>
                  <w:szCs w:val="20"/>
                </w:rPr>
                <w:t>https://doi.org/10.1080/10810730802281791</w:t>
              </w:r>
            </w:hyperlink>
          </w:p>
          <w:p w14:paraId="7ADA5111" w14:textId="77777777" w:rsidR="006C15F9" w:rsidRPr="00BE7593" w:rsidRDefault="006C15F9" w:rsidP="00A63981">
            <w:pPr>
              <w:rPr>
                <w:rFonts w:cstheme="minorHAnsi"/>
                <w:sz w:val="20"/>
                <w:szCs w:val="20"/>
              </w:rPr>
            </w:pPr>
          </w:p>
          <w:p w14:paraId="2465012C" w14:textId="77777777" w:rsidR="006C15F9" w:rsidRPr="00BE7593" w:rsidRDefault="006C15F9" w:rsidP="00A63981">
            <w:pPr>
              <w:rPr>
                <w:rFonts w:cstheme="minorHAnsi"/>
                <w:sz w:val="20"/>
                <w:szCs w:val="20"/>
              </w:rPr>
            </w:pPr>
            <w:r w:rsidRPr="00BE7593">
              <w:rPr>
                <w:rFonts w:cstheme="minorHAnsi"/>
                <w:sz w:val="20"/>
                <w:szCs w:val="20"/>
              </w:rPr>
              <w:t>American Medical Association. Health literacy and patient safety: Help patients understand. Chicago, IL: American Medical Association. 2007 Aug.</w:t>
            </w:r>
          </w:p>
          <w:p w14:paraId="51EAC289" w14:textId="77777777" w:rsidR="006C15F9" w:rsidRPr="00BE7593" w:rsidRDefault="006C15F9" w:rsidP="00A63981">
            <w:pPr>
              <w:rPr>
                <w:rFonts w:cstheme="minorHAnsi"/>
                <w:sz w:val="20"/>
                <w:szCs w:val="20"/>
              </w:rPr>
            </w:pPr>
          </w:p>
          <w:p w14:paraId="3635DB89" w14:textId="77777777" w:rsidR="006C15F9" w:rsidRPr="00BE7593" w:rsidRDefault="006C15F9" w:rsidP="00A63981">
            <w:pPr>
              <w:rPr>
                <w:rFonts w:cstheme="minorHAnsi"/>
                <w:sz w:val="20"/>
                <w:szCs w:val="20"/>
              </w:rPr>
            </w:pPr>
            <w:r w:rsidRPr="00BE7593">
              <w:rPr>
                <w:rFonts w:cstheme="minorHAnsi"/>
                <w:sz w:val="20"/>
                <w:szCs w:val="20"/>
              </w:rPr>
              <w:t xml:space="preserve">Anguilm, Chad. ADA accessibility for healthcare websites: how practices can avoid suits and attract patients. The Doctors Company. </w:t>
            </w:r>
            <w:hyperlink r:id="rId16" w:history="1">
              <w:r w:rsidRPr="00BE7593">
                <w:rPr>
                  <w:rStyle w:val="Hyperlink"/>
                  <w:rFonts w:cstheme="minorHAnsi"/>
                  <w:sz w:val="20"/>
                  <w:szCs w:val="20"/>
                </w:rPr>
                <w:t>https://www.thedoctors.com/articles/ada-accessibility-for-healthcare-websites-how-practices-can-avoid-suits-and-attract-patients/</w:t>
              </w:r>
            </w:hyperlink>
          </w:p>
          <w:p w14:paraId="4B33E179" w14:textId="77777777" w:rsidR="006C15F9" w:rsidRPr="00BE7593" w:rsidRDefault="006C15F9" w:rsidP="00A63981">
            <w:pPr>
              <w:rPr>
                <w:rFonts w:cstheme="minorHAnsi"/>
                <w:sz w:val="20"/>
                <w:szCs w:val="20"/>
              </w:rPr>
            </w:pPr>
          </w:p>
          <w:p w14:paraId="205DBC78" w14:textId="77777777" w:rsidR="006C15F9" w:rsidRPr="00BE7593" w:rsidRDefault="006C15F9" w:rsidP="00A63981">
            <w:pPr>
              <w:rPr>
                <w:rFonts w:cstheme="minorHAnsi"/>
                <w:sz w:val="20"/>
                <w:szCs w:val="20"/>
              </w:rPr>
            </w:pPr>
            <w:r w:rsidRPr="00BE7593">
              <w:rPr>
                <w:rFonts w:cstheme="minorHAnsi"/>
                <w:sz w:val="20"/>
                <w:szCs w:val="20"/>
              </w:rPr>
              <w:t xml:space="preserve">Shepard, S. and Cahill, RF. Americans with Disabilities Act: Frequently asked questions. The Doctors Company. </w:t>
            </w:r>
            <w:hyperlink r:id="rId17" w:history="1">
              <w:r w:rsidRPr="00BE7593">
                <w:rPr>
                  <w:rStyle w:val="Hyperlink"/>
                  <w:rFonts w:cstheme="minorHAnsi"/>
                  <w:sz w:val="20"/>
                  <w:szCs w:val="20"/>
                </w:rPr>
                <w:t>https://www.thedoctors.com/articles/americans-with-disabilities-act-frequently-asked-questions/</w:t>
              </w:r>
            </w:hyperlink>
          </w:p>
          <w:p w14:paraId="47141572" w14:textId="77777777" w:rsidR="006C15F9" w:rsidRPr="00BE7593" w:rsidRDefault="006C15F9" w:rsidP="00A63981">
            <w:pPr>
              <w:rPr>
                <w:rFonts w:cstheme="minorHAnsi"/>
                <w:color w:val="000000"/>
                <w:sz w:val="20"/>
                <w:szCs w:val="20"/>
                <w:shd w:val="clear" w:color="auto" w:fill="FFFFFF"/>
              </w:rPr>
            </w:pPr>
          </w:p>
        </w:tc>
      </w:tr>
      <w:tr w:rsidR="006C15F9" w:rsidRPr="00BE7593" w14:paraId="17FF753E" w14:textId="77777777" w:rsidTr="00A63981">
        <w:tc>
          <w:tcPr>
            <w:tcW w:w="9440" w:type="dxa"/>
          </w:tcPr>
          <w:p w14:paraId="32209185" w14:textId="77777777" w:rsidR="006C15F9" w:rsidRPr="00BE7593" w:rsidRDefault="006C15F9" w:rsidP="00A63981">
            <w:pPr>
              <w:rPr>
                <w:rFonts w:cstheme="minorHAnsi"/>
                <w:b/>
                <w:bCs/>
                <w:color w:val="000000"/>
                <w:sz w:val="20"/>
                <w:szCs w:val="20"/>
                <w:shd w:val="clear" w:color="auto" w:fill="FFFFFF"/>
              </w:rPr>
            </w:pPr>
            <w:r w:rsidRPr="00BE7593">
              <w:rPr>
                <w:rFonts w:cstheme="minorHAnsi"/>
                <w:b/>
                <w:bCs/>
                <w:color w:val="000000"/>
                <w:sz w:val="20"/>
                <w:szCs w:val="20"/>
                <w:shd w:val="clear" w:color="auto" w:fill="FFFFFF"/>
              </w:rPr>
              <w:lastRenderedPageBreak/>
              <w:t>Strategies to Address Limited English Proficiency (LEP)</w:t>
            </w:r>
          </w:p>
          <w:p w14:paraId="267B7A54"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proofErr w:type="gramStart"/>
            <w:r w:rsidRPr="00BE7593">
              <w:rPr>
                <w:rFonts w:cstheme="minorHAnsi"/>
                <w:color w:val="000000" w:themeColor="text1"/>
                <w:sz w:val="20"/>
                <w:szCs w:val="20"/>
              </w:rPr>
              <w:t>Attend</w:t>
            </w:r>
            <w:proofErr w:type="gramEnd"/>
            <w:r w:rsidRPr="00BE7593">
              <w:rPr>
                <w:rFonts w:cstheme="minorHAnsi"/>
                <w:color w:val="000000" w:themeColor="text1"/>
                <w:sz w:val="20"/>
                <w:szCs w:val="20"/>
              </w:rPr>
              <w:t xml:space="preserve"> a communication skills training or workshop. </w:t>
            </w:r>
          </w:p>
          <w:p w14:paraId="6A10A847"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 xml:space="preserve">Ask open-ended and probing questions. </w:t>
            </w:r>
          </w:p>
          <w:p w14:paraId="1C149BBD"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 xml:space="preserve">Practice active listening without interruption. </w:t>
            </w:r>
          </w:p>
          <w:p w14:paraId="5DA7635F"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Use plain language that is easily understood by your patients; avoid medical terminology and jargon. This is especially important for patients for whom English is a second language.</w:t>
            </w:r>
            <w:r w:rsidRPr="00BE7593">
              <w:rPr>
                <w:rFonts w:cstheme="minorHAnsi"/>
                <w:color w:val="000000" w:themeColor="text1"/>
                <w:sz w:val="20"/>
                <w:szCs w:val="20"/>
                <w:vertAlign w:val="superscript"/>
              </w:rPr>
              <w:t>11</w:t>
            </w:r>
          </w:p>
          <w:p w14:paraId="799C18D0"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Utilize non-biased decision aids and talking points to effectively enhance the informed decision-making process. These tools can be obtained from various professional organizations like the National Cancer Institute, ACS, and ACP.</w:t>
            </w:r>
          </w:p>
          <w:p w14:paraId="7470D394"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 xml:space="preserve">Use appropriate professional medical translators for non-English speaking patients.  Do not use the patient’s family or friend as a translator. </w:t>
            </w:r>
          </w:p>
          <w:p w14:paraId="2771C3E3" w14:textId="77777777" w:rsidR="006C15F9" w:rsidRPr="00BE7593" w:rsidRDefault="006C15F9" w:rsidP="006C15F9">
            <w:pPr>
              <w:pStyle w:val="ListParagraph"/>
              <w:numPr>
                <w:ilvl w:val="0"/>
                <w:numId w:val="4"/>
              </w:numPr>
              <w:rPr>
                <w:rFonts w:eastAsiaTheme="minorEastAsia" w:cstheme="minorHAnsi"/>
                <w:color w:val="000000" w:themeColor="text1"/>
                <w:sz w:val="20"/>
                <w:szCs w:val="20"/>
              </w:rPr>
            </w:pPr>
            <w:r w:rsidRPr="00BE7593">
              <w:rPr>
                <w:rFonts w:cstheme="minorHAnsi"/>
                <w:color w:val="000000" w:themeColor="text1"/>
                <w:sz w:val="20"/>
                <w:szCs w:val="20"/>
              </w:rPr>
              <w:t xml:space="preserve">Provide any handouts to non-English speaking patients in their own language. </w:t>
            </w:r>
          </w:p>
          <w:p w14:paraId="52749D53" w14:textId="77777777" w:rsidR="006C15F9" w:rsidRPr="00BE7593" w:rsidRDefault="006C15F9" w:rsidP="00A63981">
            <w:pPr>
              <w:pStyle w:val="ListParagraph"/>
              <w:rPr>
                <w:rFonts w:eastAsiaTheme="minorEastAsia" w:cstheme="minorHAnsi"/>
                <w:color w:val="000000" w:themeColor="text1"/>
                <w:sz w:val="20"/>
                <w:szCs w:val="20"/>
              </w:rPr>
            </w:pPr>
          </w:p>
          <w:p w14:paraId="661525D1" w14:textId="77777777" w:rsidR="006C15F9" w:rsidRDefault="006C15F9" w:rsidP="00A63981">
            <w:pPr>
              <w:rPr>
                <w:rStyle w:val="Hyperlink"/>
                <w:rFonts w:cstheme="minorHAnsi"/>
                <w:sz w:val="20"/>
                <w:szCs w:val="20"/>
              </w:rPr>
            </w:pPr>
            <w:r w:rsidRPr="00BE7593">
              <w:rPr>
                <w:rFonts w:cstheme="minorHAnsi"/>
                <w:sz w:val="20"/>
                <w:szCs w:val="20"/>
              </w:rPr>
              <w:t xml:space="preserve">11. </w:t>
            </w:r>
            <w:r w:rsidRPr="00BE7593">
              <w:rPr>
                <w:rFonts w:cstheme="minorHAnsi"/>
                <w:color w:val="303030"/>
                <w:sz w:val="20"/>
                <w:szCs w:val="20"/>
              </w:rPr>
              <w:t xml:space="preserve">Warde F, Papadakos J, Papadakos T, Rodin D, </w:t>
            </w:r>
            <w:proofErr w:type="spellStart"/>
            <w:r w:rsidRPr="00BE7593">
              <w:rPr>
                <w:rFonts w:cstheme="minorHAnsi"/>
                <w:color w:val="303030"/>
                <w:sz w:val="20"/>
                <w:szCs w:val="20"/>
              </w:rPr>
              <w:t>Salhia</w:t>
            </w:r>
            <w:proofErr w:type="spellEnd"/>
            <w:r w:rsidRPr="00BE7593">
              <w:rPr>
                <w:rFonts w:cstheme="minorHAnsi"/>
                <w:color w:val="303030"/>
                <w:sz w:val="20"/>
                <w:szCs w:val="20"/>
              </w:rPr>
              <w:t xml:space="preserve"> M, Giuliani M. Plain language communication as a priority competency for medical professionals in a globalized world. </w:t>
            </w:r>
            <w:r w:rsidRPr="00BE7593">
              <w:rPr>
                <w:rFonts w:cstheme="minorHAnsi"/>
                <w:i/>
                <w:iCs/>
                <w:color w:val="303030"/>
                <w:sz w:val="20"/>
                <w:szCs w:val="20"/>
              </w:rPr>
              <w:t>Can Med Educ J</w:t>
            </w:r>
            <w:r w:rsidRPr="00BE7593">
              <w:rPr>
                <w:rFonts w:cstheme="minorHAnsi"/>
                <w:color w:val="303030"/>
                <w:sz w:val="20"/>
                <w:szCs w:val="20"/>
              </w:rPr>
              <w:t>. 2018;9(2</w:t>
            </w:r>
            <w:proofErr w:type="gramStart"/>
            <w:r w:rsidRPr="00BE7593">
              <w:rPr>
                <w:rFonts w:cstheme="minorHAnsi"/>
                <w:color w:val="303030"/>
                <w:sz w:val="20"/>
                <w:szCs w:val="20"/>
              </w:rPr>
              <w:t>):e</w:t>
            </w:r>
            <w:proofErr w:type="gramEnd"/>
            <w:r w:rsidRPr="00BE7593">
              <w:rPr>
                <w:rFonts w:cstheme="minorHAnsi"/>
                <w:color w:val="303030"/>
                <w:sz w:val="20"/>
                <w:szCs w:val="20"/>
              </w:rPr>
              <w:t xml:space="preserve">52-e59. Accessed January 4, 2022. </w:t>
            </w:r>
            <w:hyperlink r:id="rId18">
              <w:r w:rsidRPr="00BE7593">
                <w:rPr>
                  <w:rStyle w:val="Hyperlink"/>
                  <w:rFonts w:cstheme="minorHAnsi"/>
                  <w:sz w:val="20"/>
                  <w:szCs w:val="20"/>
                </w:rPr>
                <w:t>https://www.ncbi.nlm.nih.gov/pmc/articles/PMC6044302/</w:t>
              </w:r>
            </w:hyperlink>
          </w:p>
          <w:p w14:paraId="6BB8B7DE" w14:textId="77777777" w:rsidR="00BE7593" w:rsidRDefault="00BE7593" w:rsidP="00A63981">
            <w:pPr>
              <w:rPr>
                <w:rStyle w:val="Hyperlink"/>
              </w:rPr>
            </w:pPr>
          </w:p>
          <w:p w14:paraId="307F201B" w14:textId="13B782CE" w:rsidR="00BE7593" w:rsidRPr="00BE7593" w:rsidRDefault="00BE7593" w:rsidP="00A63981">
            <w:pPr>
              <w:rPr>
                <w:rFonts w:cstheme="minorHAnsi"/>
                <w:color w:val="0000FF"/>
                <w:sz w:val="20"/>
                <w:szCs w:val="20"/>
                <w:u w:val="single"/>
              </w:rPr>
            </w:pPr>
          </w:p>
        </w:tc>
      </w:tr>
      <w:tr w:rsidR="00CC0545" w:rsidRPr="00BE7593" w14:paraId="71BD7427" w14:textId="77777777" w:rsidTr="00A63981">
        <w:tc>
          <w:tcPr>
            <w:tcW w:w="9440" w:type="dxa"/>
          </w:tcPr>
          <w:p w14:paraId="48B6B5A9" w14:textId="77777777" w:rsidR="00CC0545" w:rsidRPr="00BE7593" w:rsidRDefault="00CC0545" w:rsidP="00CC0545">
            <w:pPr>
              <w:rPr>
                <w:rFonts w:cstheme="minorHAnsi"/>
                <w:b/>
                <w:bCs/>
                <w:sz w:val="20"/>
                <w:szCs w:val="20"/>
              </w:rPr>
            </w:pPr>
            <w:r w:rsidRPr="00BE7593">
              <w:rPr>
                <w:rFonts w:cstheme="minorHAnsi"/>
                <w:b/>
                <w:bCs/>
                <w:sz w:val="20"/>
                <w:szCs w:val="20"/>
              </w:rPr>
              <w:lastRenderedPageBreak/>
              <w:t>Cultural and Linguistic Determinants</w:t>
            </w:r>
          </w:p>
          <w:p w14:paraId="24640098" w14:textId="77777777" w:rsidR="00CC0545" w:rsidRPr="00BE7593" w:rsidRDefault="00CC0545" w:rsidP="00CC0545">
            <w:pPr>
              <w:rPr>
                <w:rFonts w:cstheme="minorHAnsi"/>
                <w:sz w:val="20"/>
                <w:szCs w:val="20"/>
              </w:rPr>
            </w:pPr>
            <w:r w:rsidRPr="00BE7593">
              <w:rPr>
                <w:rFonts w:cstheme="minorHAnsi"/>
                <w:sz w:val="20"/>
                <w:szCs w:val="20"/>
              </w:rPr>
              <w:t xml:space="preserve">Cultural and linguistic determinants of care can affect the patient’s ability to adhere to the medication regimen. Cultural competence by healthcare professionals is critically important </w:t>
            </w:r>
            <w:proofErr w:type="gramStart"/>
            <w:r w:rsidRPr="00BE7593">
              <w:rPr>
                <w:rFonts w:cstheme="minorHAnsi"/>
                <w:sz w:val="20"/>
                <w:szCs w:val="20"/>
              </w:rPr>
              <w:t>in order to</w:t>
            </w:r>
            <w:proofErr w:type="gramEnd"/>
            <w:r w:rsidRPr="00BE7593">
              <w:rPr>
                <w:rFonts w:cstheme="minorHAnsi"/>
                <w:sz w:val="20"/>
                <w:szCs w:val="20"/>
              </w:rPr>
              <w:t xml:space="preserve"> help eliminate health disparities and social disadvantages for every patient, regardless of ethnicity or race.</w:t>
            </w:r>
          </w:p>
          <w:p w14:paraId="3E417F4D" w14:textId="03F89155" w:rsidR="00CC0545" w:rsidRPr="00BE7593" w:rsidRDefault="00CC0545" w:rsidP="00CC0545">
            <w:pPr>
              <w:rPr>
                <w:rFonts w:cstheme="minorHAnsi"/>
                <w:sz w:val="20"/>
                <w:szCs w:val="20"/>
              </w:rPr>
            </w:pPr>
            <w:r w:rsidRPr="00BE7593">
              <w:rPr>
                <w:rFonts w:cstheme="minorHAnsi"/>
                <w:sz w:val="20"/>
                <w:szCs w:val="20"/>
              </w:rPr>
              <w:t>Clinicians must understand how each patient’s sociocultural background affects health beliefs and behavior. Understanding these types of social determinants of health will allow clinicians to better care for multicultural populations. A focus on health as opposed to healthcare supports the practitioner in addressing social determinants of health.</w:t>
            </w:r>
            <w:r w:rsidR="00BE7593">
              <w:rPr>
                <w:rFonts w:cstheme="minorHAnsi"/>
                <w:sz w:val="20"/>
                <w:szCs w:val="20"/>
              </w:rPr>
              <w:t xml:space="preserve"> </w:t>
            </w:r>
            <w:r w:rsidRPr="00BE7593">
              <w:rPr>
                <w:rFonts w:cstheme="minorHAnsi"/>
                <w:sz w:val="20"/>
                <w:szCs w:val="20"/>
              </w:rPr>
              <w:t xml:space="preserve">Screening tools are available to build consideration of social determinants of health into practice. In its FPM Journal blog, the American Academy of Family Physicians outlines “Three Tools for Screening for Social Determinants of Health </w:t>
            </w:r>
            <w:hyperlink r:id="rId19" w:history="1">
              <w:r w:rsidRPr="00BE7593">
                <w:rPr>
                  <w:rStyle w:val="Hyperlink"/>
                  <w:rFonts w:cstheme="minorHAnsi"/>
                  <w:sz w:val="20"/>
                  <w:szCs w:val="20"/>
                </w:rPr>
                <w:t>Three Tools for Screening for Social Determinants of Health</w:t>
              </w:r>
            </w:hyperlink>
            <w:r w:rsidRPr="00BE7593">
              <w:rPr>
                <w:rFonts w:cstheme="minorHAnsi"/>
                <w:sz w:val="20"/>
                <w:szCs w:val="20"/>
              </w:rPr>
              <w:t>.</w:t>
            </w:r>
          </w:p>
        </w:tc>
      </w:tr>
      <w:tr w:rsidR="00CC0545" w:rsidRPr="00BE7593" w14:paraId="72DDF77C" w14:textId="77777777" w:rsidTr="00A63981">
        <w:tc>
          <w:tcPr>
            <w:tcW w:w="9440" w:type="dxa"/>
          </w:tcPr>
          <w:p w14:paraId="71BC8472" w14:textId="77777777" w:rsidR="00CC0545" w:rsidRPr="00BE7593" w:rsidRDefault="00CC0545" w:rsidP="00CC0545">
            <w:pPr>
              <w:rPr>
                <w:rFonts w:cstheme="minorHAnsi"/>
                <w:b/>
                <w:bCs/>
                <w:sz w:val="20"/>
                <w:szCs w:val="20"/>
              </w:rPr>
            </w:pPr>
            <w:r w:rsidRPr="00BE7593">
              <w:rPr>
                <w:rFonts w:cstheme="minorHAnsi"/>
                <w:b/>
                <w:bCs/>
                <w:sz w:val="20"/>
                <w:szCs w:val="20"/>
              </w:rPr>
              <w:t>Reducing Risks with Multilingual Patients</w:t>
            </w:r>
          </w:p>
          <w:p w14:paraId="0C1DEB71" w14:textId="6D9FC6E3" w:rsidR="00CC0545" w:rsidRPr="00BE7593" w:rsidRDefault="00CC0545" w:rsidP="00CC0545">
            <w:pPr>
              <w:rPr>
                <w:rFonts w:cstheme="minorHAnsi"/>
                <w:sz w:val="20"/>
                <w:szCs w:val="20"/>
              </w:rPr>
            </w:pPr>
            <w:r w:rsidRPr="00BE7593">
              <w:rPr>
                <w:rFonts w:cstheme="minorHAnsi"/>
                <w:sz w:val="20"/>
                <w:szCs w:val="20"/>
              </w:rPr>
              <w:t>With many patients speaking a language other than English at home, language barriers raise the risk for an adverse event and that can lead to claims from multilingual patients. This can arise from not understanding medication use, the inability to comprehend an informed consent discussion, or being able to follow discharge or treatment plan instructions. When cultures and languages create barriers, physicians are unable to deliver the care they have been trained to provide. Culturally competent care depends on resolving systemic and individual cultural differences that can create conflicts and misunderstandings. If the provider is unable to elicit patient information and negotiate appropriate care, negative health consequences may occur.</w:t>
            </w:r>
          </w:p>
        </w:tc>
      </w:tr>
      <w:tr w:rsidR="00222802" w:rsidRPr="00BE7593" w14:paraId="375F212B" w14:textId="77777777" w:rsidTr="00C64A7B">
        <w:tc>
          <w:tcPr>
            <w:tcW w:w="9440" w:type="dxa"/>
          </w:tcPr>
          <w:p w14:paraId="22F89491" w14:textId="6FEA3A59" w:rsidR="00222802" w:rsidRPr="00BE7593" w:rsidRDefault="00222802" w:rsidP="00791B88">
            <w:pPr>
              <w:rPr>
                <w:rFonts w:cstheme="minorHAnsi"/>
                <w:b/>
                <w:bCs/>
                <w:sz w:val="20"/>
                <w:szCs w:val="20"/>
              </w:rPr>
            </w:pPr>
            <w:r w:rsidRPr="00BE7593">
              <w:rPr>
                <w:rFonts w:cstheme="minorHAnsi"/>
                <w:b/>
                <w:bCs/>
                <w:sz w:val="20"/>
                <w:szCs w:val="20"/>
                <w:rPrChange w:id="0" w:author="Lackner, Johanna" w:date="2022-02-28T17:19:00Z">
                  <w:rPr>
                    <w:sz w:val="18"/>
                    <w:szCs w:val="18"/>
                  </w:rPr>
                </w:rPrChange>
              </w:rPr>
              <w:t>Be Aware of Your Potential for Implicit Bias</w:t>
            </w:r>
          </w:p>
          <w:p w14:paraId="35683201" w14:textId="77777777" w:rsidR="00222802" w:rsidRPr="00BE7593" w:rsidRDefault="00222802" w:rsidP="00791B88">
            <w:pPr>
              <w:rPr>
                <w:rFonts w:cstheme="minorHAnsi"/>
                <w:color w:val="000000"/>
                <w:sz w:val="20"/>
                <w:szCs w:val="20"/>
                <w:shd w:val="clear" w:color="auto" w:fill="FFFFFF"/>
              </w:rPr>
            </w:pPr>
            <w:r w:rsidRPr="00BE7593">
              <w:rPr>
                <w:rFonts w:cstheme="minorHAnsi"/>
                <w:color w:val="000000"/>
                <w:sz w:val="20"/>
                <w:szCs w:val="20"/>
                <w:shd w:val="clear" w:color="auto" w:fill="FFFFFF"/>
              </w:rPr>
              <w:t>Implicit attitudes are thoughts and feelings that can exist outside of conscious awareness, and thus are difficult to consciously acknowledge and control. Negative implicit attitudes contribute to disparities in health and health care. [1]</w:t>
            </w:r>
          </w:p>
          <w:p w14:paraId="79531418" w14:textId="77777777" w:rsidR="00222802" w:rsidRPr="00BE7593" w:rsidRDefault="00222802" w:rsidP="00791B88">
            <w:pPr>
              <w:rPr>
                <w:rFonts w:cstheme="minorHAnsi"/>
                <w:color w:val="000000"/>
                <w:sz w:val="12"/>
                <w:szCs w:val="12"/>
                <w:shd w:val="clear" w:color="auto" w:fill="FFFFFF"/>
              </w:rPr>
            </w:pPr>
          </w:p>
          <w:p w14:paraId="0336E4B8" w14:textId="77777777" w:rsidR="00222802" w:rsidRPr="00BE7593" w:rsidRDefault="00222802" w:rsidP="00791B88">
            <w:pPr>
              <w:rPr>
                <w:rFonts w:cstheme="minorHAnsi"/>
                <w:color w:val="000000"/>
                <w:sz w:val="20"/>
                <w:szCs w:val="20"/>
                <w:shd w:val="clear" w:color="auto" w:fill="FFFFFF"/>
              </w:rPr>
            </w:pPr>
            <w:r w:rsidRPr="00BE7593">
              <w:rPr>
                <w:rFonts w:cstheme="minorHAnsi"/>
                <w:color w:val="000000"/>
                <w:sz w:val="20"/>
                <w:szCs w:val="20"/>
                <w:shd w:val="clear" w:color="auto" w:fill="FFFFFF"/>
              </w:rPr>
              <w:t>WJ Hall, et al. systematically reviewed evidence on implicit racial/ethnic bias among health care providers and on the relationships between health care providers’ implicit attitudes about racial/ethnic groups and health care outcomes.  They found all but one of fifteen relevant studies demonstrated low to moderate levels of implicit racial/ethnic bias among health care professionals. The results also showed that implicit bias was significantly related to patient–provider interactions, treatment decisions, treatment adherence, and patient health outcomes. [2]</w:t>
            </w:r>
          </w:p>
          <w:p w14:paraId="6BF10E07" w14:textId="77777777" w:rsidR="00222802" w:rsidRPr="00BE7593" w:rsidRDefault="00222802" w:rsidP="00791B88">
            <w:pPr>
              <w:rPr>
                <w:rFonts w:cstheme="minorHAnsi"/>
                <w:color w:val="000000"/>
                <w:sz w:val="10"/>
                <w:szCs w:val="10"/>
                <w:shd w:val="clear" w:color="auto" w:fill="FFFFFF"/>
              </w:rPr>
            </w:pPr>
          </w:p>
          <w:p w14:paraId="41CA8960" w14:textId="77777777" w:rsidR="00222802" w:rsidRPr="00BE7593" w:rsidRDefault="00222802" w:rsidP="00222802">
            <w:pPr>
              <w:rPr>
                <w:rFonts w:cstheme="minorHAnsi"/>
                <w:color w:val="000000"/>
                <w:sz w:val="20"/>
                <w:szCs w:val="20"/>
                <w:shd w:val="clear" w:color="auto" w:fill="FFFFFF"/>
              </w:rPr>
            </w:pPr>
            <w:r w:rsidRPr="00BE7593">
              <w:rPr>
                <w:rFonts w:cstheme="minorHAnsi"/>
                <w:color w:val="000000"/>
                <w:sz w:val="20"/>
                <w:szCs w:val="20"/>
                <w:shd w:val="clear" w:color="auto" w:fill="FFFFFF"/>
              </w:rPr>
              <w:t xml:space="preserve">Research has also identified implicit attitudes and beliefs held by providers regarding other groups such as people who are LGBTQ, people with weight, substance use or behavioral health challenges and those faced with social inequalities including limited or no housing, low </w:t>
            </w:r>
            <w:proofErr w:type="gramStart"/>
            <w:r w:rsidRPr="00BE7593">
              <w:rPr>
                <w:rFonts w:cstheme="minorHAnsi"/>
                <w:color w:val="000000"/>
                <w:sz w:val="20"/>
                <w:szCs w:val="20"/>
                <w:shd w:val="clear" w:color="auto" w:fill="FFFFFF"/>
              </w:rPr>
              <w:t>education</w:t>
            </w:r>
            <w:proofErr w:type="gramEnd"/>
            <w:r w:rsidRPr="00BE7593">
              <w:rPr>
                <w:rFonts w:cstheme="minorHAnsi"/>
                <w:color w:val="000000"/>
                <w:sz w:val="20"/>
                <w:szCs w:val="20"/>
                <w:shd w:val="clear" w:color="auto" w:fill="FFFFFF"/>
              </w:rPr>
              <w:t xml:space="preserve"> and limited English proficiency. </w:t>
            </w:r>
          </w:p>
          <w:p w14:paraId="649342E7" w14:textId="7AE8E200" w:rsidR="00C64A7B" w:rsidRPr="00BE7593" w:rsidRDefault="00994AD7" w:rsidP="00C64A7B">
            <w:pPr>
              <w:pStyle w:val="ListParagraph"/>
              <w:numPr>
                <w:ilvl w:val="0"/>
                <w:numId w:val="6"/>
              </w:numPr>
              <w:spacing w:after="160" w:line="259" w:lineRule="auto"/>
              <w:ind w:left="400"/>
              <w:rPr>
                <w:rFonts w:cstheme="minorHAnsi"/>
                <w:sz w:val="20"/>
                <w:szCs w:val="20"/>
              </w:rPr>
            </w:pPr>
            <w:hyperlink r:id="rId20" w:history="1">
              <w:r w:rsidR="00C64A7B" w:rsidRPr="00BE7593">
                <w:rPr>
                  <w:rStyle w:val="Hyperlink"/>
                  <w:rFonts w:cstheme="minorHAnsi"/>
                  <w:sz w:val="20"/>
                  <w:szCs w:val="20"/>
                </w:rPr>
                <w:t>https://www.jointcommission.org/resources/news-and-multimedia/newsletters/newsletters/quick-safety/quick-safety-issue-23-implicit-bias-in-health-care/implicit-bias-in-health-care/</w:t>
              </w:r>
            </w:hyperlink>
          </w:p>
          <w:p w14:paraId="2150E49D" w14:textId="7817D7CA" w:rsidR="00222802" w:rsidRPr="00BE7593" w:rsidRDefault="00C64A7B" w:rsidP="00BE7593">
            <w:pPr>
              <w:pStyle w:val="ListParagraph"/>
              <w:numPr>
                <w:ilvl w:val="0"/>
                <w:numId w:val="6"/>
              </w:numPr>
              <w:spacing w:after="160" w:line="259" w:lineRule="auto"/>
              <w:ind w:left="400"/>
              <w:rPr>
                <w:rFonts w:cstheme="minorHAnsi"/>
                <w:sz w:val="20"/>
                <w:szCs w:val="20"/>
              </w:rPr>
            </w:pPr>
            <w:r w:rsidRPr="00BE7593">
              <w:rPr>
                <w:rFonts w:cstheme="minorHAnsi"/>
                <w:sz w:val="20"/>
                <w:szCs w:val="20"/>
              </w:rPr>
              <w:t>https://www.ncbi.nlm.nih.gov/pmc/articles/PMC4638275/</w:t>
            </w:r>
          </w:p>
        </w:tc>
      </w:tr>
      <w:tr w:rsidR="006C15F9" w:rsidRPr="00BE7593" w14:paraId="7B21FD85" w14:textId="77777777" w:rsidTr="00A63981">
        <w:tc>
          <w:tcPr>
            <w:tcW w:w="9440" w:type="dxa"/>
          </w:tcPr>
          <w:p w14:paraId="47DC7C64" w14:textId="7E13B2FF" w:rsidR="00266BF9" w:rsidRPr="00BE7593" w:rsidRDefault="00266BF9" w:rsidP="00266BF9">
            <w:pPr>
              <w:rPr>
                <w:rFonts w:cstheme="minorHAnsi"/>
                <w:b/>
                <w:bCs/>
                <w:sz w:val="20"/>
                <w:szCs w:val="20"/>
              </w:rPr>
            </w:pPr>
            <w:r w:rsidRPr="00BE7593">
              <w:rPr>
                <w:rFonts w:cstheme="minorHAnsi"/>
                <w:b/>
                <w:bCs/>
                <w:sz w:val="20"/>
                <w:szCs w:val="20"/>
              </w:rPr>
              <w:t>Addressing Implicit Bias</w:t>
            </w:r>
          </w:p>
          <w:p w14:paraId="709CDC65" w14:textId="20E2350C" w:rsidR="00266BF9" w:rsidRPr="00BE7593" w:rsidRDefault="00266BF9" w:rsidP="00266BF9">
            <w:pPr>
              <w:rPr>
                <w:rFonts w:cstheme="minorHAnsi"/>
                <w:sz w:val="20"/>
                <w:szCs w:val="20"/>
              </w:rPr>
            </w:pPr>
            <w:r w:rsidRPr="00BE7593">
              <w:rPr>
                <w:rFonts w:cstheme="minorHAnsi"/>
                <w:sz w:val="20"/>
                <w:szCs w:val="20"/>
              </w:rPr>
              <w:t xml:space="preserve">Providers </w:t>
            </w:r>
            <w:r w:rsidRPr="00BE7593">
              <w:rPr>
                <w:rFonts w:eastAsia="Times New Roman" w:cstheme="minorHAnsi"/>
                <w:color w:val="222222"/>
                <w:sz w:val="20"/>
                <w:szCs w:val="20"/>
              </w:rPr>
              <w:t>who are highly motivated to overcome their implicit biases can effectively manage or change prejudices to prevent them from affecting the quality of care they provide. Some of the skills that help lower implicit bias include: [citation 1]</w:t>
            </w:r>
          </w:p>
          <w:p w14:paraId="4CC00740" w14:textId="77777777" w:rsidR="00266BF9" w:rsidRPr="00BE7593" w:rsidRDefault="00266BF9" w:rsidP="00266BF9">
            <w:pPr>
              <w:numPr>
                <w:ilvl w:val="0"/>
                <w:numId w:val="5"/>
              </w:numPr>
              <w:shd w:val="clear" w:color="auto" w:fill="FFFFFF"/>
              <w:spacing w:after="160" w:line="259" w:lineRule="auto"/>
              <w:textAlignment w:val="baseline"/>
              <w:rPr>
                <w:rFonts w:eastAsia="Times New Roman" w:cstheme="minorHAnsi"/>
                <w:color w:val="222222"/>
                <w:sz w:val="20"/>
                <w:szCs w:val="20"/>
              </w:rPr>
            </w:pPr>
            <w:r w:rsidRPr="00BE7593">
              <w:rPr>
                <w:rFonts w:eastAsia="Times New Roman" w:cstheme="minorHAnsi"/>
                <w:b/>
                <w:bCs/>
                <w:i/>
                <w:iCs/>
                <w:color w:val="222222"/>
                <w:sz w:val="20"/>
                <w:szCs w:val="20"/>
                <w:bdr w:val="none" w:sz="0" w:space="0" w:color="auto" w:frame="1"/>
              </w:rPr>
              <w:t>Perspective-taking: </w:t>
            </w:r>
            <w:r w:rsidRPr="00BE7593">
              <w:rPr>
                <w:rFonts w:eastAsia="Times New Roman" w:cstheme="minorHAnsi"/>
                <w:color w:val="222222"/>
                <w:sz w:val="20"/>
                <w:szCs w:val="20"/>
              </w:rPr>
              <w:t>Taping into empathy, perspective-taking can reduce bias and inhibit unconscious stereotypes and prejudices. Clinician empathy positively affects patient satisfaction, self-efficacy perceptions of control, emotional distress, adherence, and health outcomes. </w:t>
            </w:r>
          </w:p>
          <w:p w14:paraId="7DE30620" w14:textId="77777777" w:rsidR="00266BF9" w:rsidRPr="00BE7593" w:rsidRDefault="00266BF9" w:rsidP="00266BF9">
            <w:pPr>
              <w:numPr>
                <w:ilvl w:val="0"/>
                <w:numId w:val="5"/>
              </w:numPr>
              <w:shd w:val="clear" w:color="auto" w:fill="FFFFFF"/>
              <w:spacing w:after="160" w:line="259" w:lineRule="auto"/>
              <w:textAlignment w:val="baseline"/>
              <w:rPr>
                <w:rFonts w:eastAsia="Times New Roman" w:cstheme="minorHAnsi"/>
                <w:color w:val="222222"/>
                <w:sz w:val="20"/>
                <w:szCs w:val="20"/>
              </w:rPr>
            </w:pPr>
            <w:r w:rsidRPr="00BE7593">
              <w:rPr>
                <w:rFonts w:eastAsia="Times New Roman" w:cstheme="minorHAnsi"/>
                <w:b/>
                <w:bCs/>
                <w:i/>
                <w:iCs/>
                <w:color w:val="222222"/>
                <w:sz w:val="20"/>
                <w:szCs w:val="20"/>
                <w:bdr w:val="none" w:sz="0" w:space="0" w:color="auto" w:frame="1"/>
              </w:rPr>
              <w:t>Emotional regulation skills:</w:t>
            </w:r>
            <w:r w:rsidRPr="00BE7593">
              <w:rPr>
                <w:rFonts w:eastAsia="Times New Roman" w:cstheme="minorHAnsi"/>
                <w:color w:val="222222"/>
                <w:sz w:val="20"/>
                <w:szCs w:val="20"/>
              </w:rPr>
              <w:t> Clinicians who have good emotional regulation skills and who experience positive emotion during clinical encounters may be less likely to view patients in terms of their individual attributes, but rather use more inclusive social categories. It’s easier to empathize with others when people view themselves as being part of a larger group.  </w:t>
            </w:r>
          </w:p>
          <w:p w14:paraId="096EFEB4" w14:textId="77777777" w:rsidR="00266BF9" w:rsidRPr="00BE7593" w:rsidRDefault="00266BF9" w:rsidP="00266BF9">
            <w:pPr>
              <w:numPr>
                <w:ilvl w:val="0"/>
                <w:numId w:val="5"/>
              </w:numPr>
              <w:shd w:val="clear" w:color="auto" w:fill="FFFFFF"/>
              <w:spacing w:after="160" w:line="259" w:lineRule="auto"/>
              <w:textAlignment w:val="baseline"/>
              <w:rPr>
                <w:rFonts w:eastAsia="Times New Roman" w:cstheme="minorHAnsi"/>
                <w:color w:val="222222"/>
                <w:sz w:val="20"/>
                <w:szCs w:val="20"/>
              </w:rPr>
            </w:pPr>
            <w:r w:rsidRPr="00BE7593">
              <w:rPr>
                <w:rFonts w:eastAsia="Times New Roman" w:cstheme="minorHAnsi"/>
                <w:b/>
                <w:bCs/>
                <w:i/>
                <w:iCs/>
                <w:color w:val="222222"/>
                <w:sz w:val="20"/>
                <w:szCs w:val="20"/>
                <w:bdr w:val="none" w:sz="0" w:space="0" w:color="auto" w:frame="1"/>
              </w:rPr>
              <w:t>Partnership-building skills:</w:t>
            </w:r>
            <w:r w:rsidRPr="00BE7593">
              <w:rPr>
                <w:rFonts w:eastAsia="Times New Roman" w:cstheme="minorHAnsi"/>
                <w:color w:val="222222"/>
                <w:sz w:val="20"/>
                <w:szCs w:val="20"/>
              </w:rPr>
              <w:t> Clinicians who create partnerships with patients are more likely to develop a sense that their patients are on the same “team,” working toward a common goal. </w:t>
            </w:r>
          </w:p>
          <w:p w14:paraId="486C3B0B" w14:textId="59AC80A0" w:rsidR="006C15F9" w:rsidRPr="00BE7593" w:rsidRDefault="00BA6A1A" w:rsidP="00A63981">
            <w:pPr>
              <w:rPr>
                <w:rFonts w:cstheme="minorHAnsi"/>
                <w:color w:val="000000"/>
                <w:sz w:val="20"/>
                <w:szCs w:val="20"/>
                <w:shd w:val="clear" w:color="auto" w:fill="FFFFFF"/>
              </w:rPr>
            </w:pPr>
            <w:r w:rsidRPr="00BE7593">
              <w:rPr>
                <w:rFonts w:cstheme="minorHAnsi"/>
                <w:sz w:val="20"/>
                <w:szCs w:val="20"/>
              </w:rPr>
              <w:t>https://www.ncbi.nlm.nih.gov/pmc/articles/PMC3993983/</w:t>
            </w:r>
          </w:p>
        </w:tc>
      </w:tr>
    </w:tbl>
    <w:p w14:paraId="49250330" w14:textId="77777777" w:rsidR="00215CA7" w:rsidRPr="00BE7593" w:rsidRDefault="00215CA7" w:rsidP="0045105E">
      <w:pPr>
        <w:rPr>
          <w:rFonts w:cstheme="minorHAnsi"/>
          <w:sz w:val="20"/>
          <w:szCs w:val="20"/>
        </w:rPr>
      </w:pPr>
    </w:p>
    <w:sectPr w:rsidR="00215CA7" w:rsidRPr="00BE7593" w:rsidSect="00A3415D">
      <w:footerReference w:type="default" r:id="rId2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95B9" w14:textId="77777777" w:rsidR="00EE7B49" w:rsidRDefault="00EE7B49">
      <w:pPr>
        <w:spacing w:after="0" w:line="240" w:lineRule="auto"/>
      </w:pPr>
      <w:r>
        <w:separator/>
      </w:r>
    </w:p>
  </w:endnote>
  <w:endnote w:type="continuationSeparator" w:id="0">
    <w:p w14:paraId="37483E35" w14:textId="77777777" w:rsidR="00EE7B49" w:rsidRDefault="00EE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39E" w14:textId="77777777" w:rsidR="005720FC" w:rsidRPr="00C702EA" w:rsidRDefault="00DA08CF">
    <w:pPr>
      <w:pStyle w:val="Footer"/>
      <w:rPr>
        <w:sz w:val="18"/>
        <w:szCs w:val="18"/>
      </w:rPr>
    </w:pPr>
    <w:r w:rsidRPr="00C702EA">
      <w:rPr>
        <w:sz w:val="18"/>
        <w:szCs w:val="18"/>
      </w:rPr>
      <w:t xml:space="preserve">TDC Group, CPE Department </w:t>
    </w:r>
    <w:r w:rsidRPr="00C702EA">
      <w:rPr>
        <w:sz w:val="18"/>
        <w:szCs w:val="18"/>
      </w:rPr>
      <w:tab/>
    </w:r>
    <w:r w:rsidRPr="00C702EA">
      <w:rPr>
        <w:sz w:val="18"/>
        <w:szCs w:val="18"/>
      </w:rPr>
      <w:tab/>
      <w:t>V1 03.10.2022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8B79" w14:textId="77777777" w:rsidR="00EE7B49" w:rsidRDefault="00EE7B49">
      <w:pPr>
        <w:spacing w:after="0" w:line="240" w:lineRule="auto"/>
      </w:pPr>
      <w:r>
        <w:separator/>
      </w:r>
    </w:p>
  </w:footnote>
  <w:footnote w:type="continuationSeparator" w:id="0">
    <w:p w14:paraId="3C98F217" w14:textId="77777777" w:rsidR="00EE7B49" w:rsidRDefault="00EE7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DC9"/>
    <w:multiLevelType w:val="hybridMultilevel"/>
    <w:tmpl w:val="5850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6F78"/>
    <w:multiLevelType w:val="multilevel"/>
    <w:tmpl w:val="5F8AA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725EB"/>
    <w:multiLevelType w:val="hybridMultilevel"/>
    <w:tmpl w:val="E8F0D790"/>
    <w:lvl w:ilvl="0" w:tplc="6FE05A0A">
      <w:start w:val="1"/>
      <w:numFmt w:val="decimal"/>
      <w:lvlText w:val="%1."/>
      <w:lvlJc w:val="left"/>
      <w:pPr>
        <w:tabs>
          <w:tab w:val="num" w:pos="720"/>
        </w:tabs>
        <w:ind w:left="720" w:hanging="360"/>
      </w:pPr>
    </w:lvl>
    <w:lvl w:ilvl="1" w:tplc="AA564806" w:tentative="1">
      <w:start w:val="1"/>
      <w:numFmt w:val="decimal"/>
      <w:lvlText w:val="%2."/>
      <w:lvlJc w:val="left"/>
      <w:pPr>
        <w:tabs>
          <w:tab w:val="num" w:pos="1440"/>
        </w:tabs>
        <w:ind w:left="1440" w:hanging="360"/>
      </w:pPr>
    </w:lvl>
    <w:lvl w:ilvl="2" w:tplc="78ACD6D2">
      <w:numFmt w:val="bullet"/>
      <w:lvlText w:val=""/>
      <w:lvlJc w:val="left"/>
      <w:pPr>
        <w:tabs>
          <w:tab w:val="num" w:pos="2160"/>
        </w:tabs>
        <w:ind w:left="2160" w:hanging="360"/>
      </w:pPr>
      <w:rPr>
        <w:rFonts w:ascii="Wingdings" w:hAnsi="Wingdings" w:hint="default"/>
      </w:rPr>
    </w:lvl>
    <w:lvl w:ilvl="3" w:tplc="B70CEC50">
      <w:start w:val="1"/>
      <w:numFmt w:val="decimal"/>
      <w:lvlText w:val="%4."/>
      <w:lvlJc w:val="left"/>
      <w:pPr>
        <w:tabs>
          <w:tab w:val="num" w:pos="2880"/>
        </w:tabs>
        <w:ind w:left="2880" w:hanging="360"/>
      </w:pPr>
    </w:lvl>
    <w:lvl w:ilvl="4" w:tplc="6C7AEC00" w:tentative="1">
      <w:start w:val="1"/>
      <w:numFmt w:val="decimal"/>
      <w:lvlText w:val="%5."/>
      <w:lvlJc w:val="left"/>
      <w:pPr>
        <w:tabs>
          <w:tab w:val="num" w:pos="3600"/>
        </w:tabs>
        <w:ind w:left="3600" w:hanging="360"/>
      </w:pPr>
    </w:lvl>
    <w:lvl w:ilvl="5" w:tplc="4AF4F172" w:tentative="1">
      <w:start w:val="1"/>
      <w:numFmt w:val="decimal"/>
      <w:lvlText w:val="%6."/>
      <w:lvlJc w:val="left"/>
      <w:pPr>
        <w:tabs>
          <w:tab w:val="num" w:pos="4320"/>
        </w:tabs>
        <w:ind w:left="4320" w:hanging="360"/>
      </w:pPr>
    </w:lvl>
    <w:lvl w:ilvl="6" w:tplc="40B4C838" w:tentative="1">
      <w:start w:val="1"/>
      <w:numFmt w:val="decimal"/>
      <w:lvlText w:val="%7."/>
      <w:lvlJc w:val="left"/>
      <w:pPr>
        <w:tabs>
          <w:tab w:val="num" w:pos="5040"/>
        </w:tabs>
        <w:ind w:left="5040" w:hanging="360"/>
      </w:pPr>
    </w:lvl>
    <w:lvl w:ilvl="7" w:tplc="AB7433A8" w:tentative="1">
      <w:start w:val="1"/>
      <w:numFmt w:val="decimal"/>
      <w:lvlText w:val="%8."/>
      <w:lvlJc w:val="left"/>
      <w:pPr>
        <w:tabs>
          <w:tab w:val="num" w:pos="5760"/>
        </w:tabs>
        <w:ind w:left="5760" w:hanging="360"/>
      </w:pPr>
    </w:lvl>
    <w:lvl w:ilvl="8" w:tplc="2A44F146" w:tentative="1">
      <w:start w:val="1"/>
      <w:numFmt w:val="decimal"/>
      <w:lvlText w:val="%9."/>
      <w:lvlJc w:val="left"/>
      <w:pPr>
        <w:tabs>
          <w:tab w:val="num" w:pos="6480"/>
        </w:tabs>
        <w:ind w:left="6480" w:hanging="360"/>
      </w:pPr>
    </w:lvl>
  </w:abstractNum>
  <w:abstractNum w:abstractNumId="3" w15:restartNumberingAfterBreak="0">
    <w:nsid w:val="221128D8"/>
    <w:multiLevelType w:val="hybridMultilevel"/>
    <w:tmpl w:val="584CF38C"/>
    <w:lvl w:ilvl="0" w:tplc="E172535A">
      <w:start w:val="1"/>
      <w:numFmt w:val="bullet"/>
      <w:lvlText w:val=""/>
      <w:lvlJc w:val="left"/>
      <w:pPr>
        <w:tabs>
          <w:tab w:val="num" w:pos="720"/>
        </w:tabs>
        <w:ind w:left="720" w:hanging="360"/>
      </w:pPr>
      <w:rPr>
        <w:rFonts w:ascii="Wingdings" w:hAnsi="Wingdings" w:hint="default"/>
      </w:rPr>
    </w:lvl>
    <w:lvl w:ilvl="1" w:tplc="29A6225A" w:tentative="1">
      <w:start w:val="1"/>
      <w:numFmt w:val="bullet"/>
      <w:lvlText w:val=""/>
      <w:lvlJc w:val="left"/>
      <w:pPr>
        <w:tabs>
          <w:tab w:val="num" w:pos="1440"/>
        </w:tabs>
        <w:ind w:left="1440" w:hanging="360"/>
      </w:pPr>
      <w:rPr>
        <w:rFonts w:ascii="Wingdings" w:hAnsi="Wingdings" w:hint="default"/>
      </w:rPr>
    </w:lvl>
    <w:lvl w:ilvl="2" w:tplc="4D205718" w:tentative="1">
      <w:start w:val="1"/>
      <w:numFmt w:val="bullet"/>
      <w:lvlText w:val=""/>
      <w:lvlJc w:val="left"/>
      <w:pPr>
        <w:tabs>
          <w:tab w:val="num" w:pos="2160"/>
        </w:tabs>
        <w:ind w:left="2160" w:hanging="360"/>
      </w:pPr>
      <w:rPr>
        <w:rFonts w:ascii="Wingdings" w:hAnsi="Wingdings" w:hint="default"/>
      </w:rPr>
    </w:lvl>
    <w:lvl w:ilvl="3" w:tplc="B1E41B2A" w:tentative="1">
      <w:start w:val="1"/>
      <w:numFmt w:val="bullet"/>
      <w:lvlText w:val=""/>
      <w:lvlJc w:val="left"/>
      <w:pPr>
        <w:tabs>
          <w:tab w:val="num" w:pos="2880"/>
        </w:tabs>
        <w:ind w:left="2880" w:hanging="360"/>
      </w:pPr>
      <w:rPr>
        <w:rFonts w:ascii="Wingdings" w:hAnsi="Wingdings" w:hint="default"/>
      </w:rPr>
    </w:lvl>
    <w:lvl w:ilvl="4" w:tplc="91782440" w:tentative="1">
      <w:start w:val="1"/>
      <w:numFmt w:val="bullet"/>
      <w:lvlText w:val=""/>
      <w:lvlJc w:val="left"/>
      <w:pPr>
        <w:tabs>
          <w:tab w:val="num" w:pos="3600"/>
        </w:tabs>
        <w:ind w:left="3600" w:hanging="360"/>
      </w:pPr>
      <w:rPr>
        <w:rFonts w:ascii="Wingdings" w:hAnsi="Wingdings" w:hint="default"/>
      </w:rPr>
    </w:lvl>
    <w:lvl w:ilvl="5" w:tplc="FC70181C" w:tentative="1">
      <w:start w:val="1"/>
      <w:numFmt w:val="bullet"/>
      <w:lvlText w:val=""/>
      <w:lvlJc w:val="left"/>
      <w:pPr>
        <w:tabs>
          <w:tab w:val="num" w:pos="4320"/>
        </w:tabs>
        <w:ind w:left="4320" w:hanging="360"/>
      </w:pPr>
      <w:rPr>
        <w:rFonts w:ascii="Wingdings" w:hAnsi="Wingdings" w:hint="default"/>
      </w:rPr>
    </w:lvl>
    <w:lvl w:ilvl="6" w:tplc="65EEC2D2" w:tentative="1">
      <w:start w:val="1"/>
      <w:numFmt w:val="bullet"/>
      <w:lvlText w:val=""/>
      <w:lvlJc w:val="left"/>
      <w:pPr>
        <w:tabs>
          <w:tab w:val="num" w:pos="5040"/>
        </w:tabs>
        <w:ind w:left="5040" w:hanging="360"/>
      </w:pPr>
      <w:rPr>
        <w:rFonts w:ascii="Wingdings" w:hAnsi="Wingdings" w:hint="default"/>
      </w:rPr>
    </w:lvl>
    <w:lvl w:ilvl="7" w:tplc="9DCC2CFA" w:tentative="1">
      <w:start w:val="1"/>
      <w:numFmt w:val="bullet"/>
      <w:lvlText w:val=""/>
      <w:lvlJc w:val="left"/>
      <w:pPr>
        <w:tabs>
          <w:tab w:val="num" w:pos="5760"/>
        </w:tabs>
        <w:ind w:left="5760" w:hanging="360"/>
      </w:pPr>
      <w:rPr>
        <w:rFonts w:ascii="Wingdings" w:hAnsi="Wingdings" w:hint="default"/>
      </w:rPr>
    </w:lvl>
    <w:lvl w:ilvl="8" w:tplc="F8C42B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4470A0"/>
    <w:multiLevelType w:val="hybridMultilevel"/>
    <w:tmpl w:val="DC6A9202"/>
    <w:lvl w:ilvl="0" w:tplc="B9209C8E">
      <w:start w:val="1"/>
      <w:numFmt w:val="bullet"/>
      <w:lvlText w:val="·"/>
      <w:lvlJc w:val="left"/>
      <w:pPr>
        <w:ind w:left="720" w:hanging="360"/>
      </w:pPr>
      <w:rPr>
        <w:rFonts w:ascii="Symbol" w:hAnsi="Symbol" w:hint="default"/>
      </w:rPr>
    </w:lvl>
    <w:lvl w:ilvl="1" w:tplc="70EEDE36">
      <w:start w:val="1"/>
      <w:numFmt w:val="bullet"/>
      <w:lvlText w:val="o"/>
      <w:lvlJc w:val="left"/>
      <w:pPr>
        <w:ind w:left="1440" w:hanging="360"/>
      </w:pPr>
      <w:rPr>
        <w:rFonts w:ascii="Courier New" w:hAnsi="Courier New" w:hint="default"/>
      </w:rPr>
    </w:lvl>
    <w:lvl w:ilvl="2" w:tplc="54BE8A68">
      <w:start w:val="1"/>
      <w:numFmt w:val="bullet"/>
      <w:lvlText w:val=""/>
      <w:lvlJc w:val="left"/>
      <w:pPr>
        <w:ind w:left="2160" w:hanging="360"/>
      </w:pPr>
      <w:rPr>
        <w:rFonts w:ascii="Wingdings" w:hAnsi="Wingdings" w:hint="default"/>
      </w:rPr>
    </w:lvl>
    <w:lvl w:ilvl="3" w:tplc="3BA82232">
      <w:start w:val="1"/>
      <w:numFmt w:val="bullet"/>
      <w:lvlText w:val=""/>
      <w:lvlJc w:val="left"/>
      <w:pPr>
        <w:ind w:left="2880" w:hanging="360"/>
      </w:pPr>
      <w:rPr>
        <w:rFonts w:ascii="Symbol" w:hAnsi="Symbol" w:hint="default"/>
      </w:rPr>
    </w:lvl>
    <w:lvl w:ilvl="4" w:tplc="1A082F40">
      <w:start w:val="1"/>
      <w:numFmt w:val="bullet"/>
      <w:lvlText w:val="o"/>
      <w:lvlJc w:val="left"/>
      <w:pPr>
        <w:ind w:left="3600" w:hanging="360"/>
      </w:pPr>
      <w:rPr>
        <w:rFonts w:ascii="Courier New" w:hAnsi="Courier New" w:hint="default"/>
      </w:rPr>
    </w:lvl>
    <w:lvl w:ilvl="5" w:tplc="196A4DF6">
      <w:start w:val="1"/>
      <w:numFmt w:val="bullet"/>
      <w:lvlText w:val=""/>
      <w:lvlJc w:val="left"/>
      <w:pPr>
        <w:ind w:left="4320" w:hanging="360"/>
      </w:pPr>
      <w:rPr>
        <w:rFonts w:ascii="Wingdings" w:hAnsi="Wingdings" w:hint="default"/>
      </w:rPr>
    </w:lvl>
    <w:lvl w:ilvl="6" w:tplc="26922C6A">
      <w:start w:val="1"/>
      <w:numFmt w:val="bullet"/>
      <w:lvlText w:val=""/>
      <w:lvlJc w:val="left"/>
      <w:pPr>
        <w:ind w:left="5040" w:hanging="360"/>
      </w:pPr>
      <w:rPr>
        <w:rFonts w:ascii="Symbol" w:hAnsi="Symbol" w:hint="default"/>
      </w:rPr>
    </w:lvl>
    <w:lvl w:ilvl="7" w:tplc="2E3E7288">
      <w:start w:val="1"/>
      <w:numFmt w:val="bullet"/>
      <w:lvlText w:val="o"/>
      <w:lvlJc w:val="left"/>
      <w:pPr>
        <w:ind w:left="5760" w:hanging="360"/>
      </w:pPr>
      <w:rPr>
        <w:rFonts w:ascii="Courier New" w:hAnsi="Courier New" w:hint="default"/>
      </w:rPr>
    </w:lvl>
    <w:lvl w:ilvl="8" w:tplc="4684AF70">
      <w:start w:val="1"/>
      <w:numFmt w:val="bullet"/>
      <w:lvlText w:val=""/>
      <w:lvlJc w:val="left"/>
      <w:pPr>
        <w:ind w:left="6480" w:hanging="360"/>
      </w:pPr>
      <w:rPr>
        <w:rFonts w:ascii="Wingdings" w:hAnsi="Wingdings" w:hint="default"/>
      </w:rPr>
    </w:lvl>
  </w:abstractNum>
  <w:abstractNum w:abstractNumId="5" w15:restartNumberingAfterBreak="0">
    <w:nsid w:val="5C161048"/>
    <w:multiLevelType w:val="hybridMultilevel"/>
    <w:tmpl w:val="1510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463783">
    <w:abstractNumId w:val="3"/>
  </w:num>
  <w:num w:numId="2" w16cid:durableId="83189200">
    <w:abstractNumId w:val="2"/>
  </w:num>
  <w:num w:numId="3" w16cid:durableId="1270812926">
    <w:abstractNumId w:val="0"/>
  </w:num>
  <w:num w:numId="4" w16cid:durableId="799760377">
    <w:abstractNumId w:val="4"/>
  </w:num>
  <w:num w:numId="5" w16cid:durableId="942804454">
    <w:abstractNumId w:val="1"/>
  </w:num>
  <w:num w:numId="6" w16cid:durableId="14290410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kner, Johanna">
    <w15:presenceInfo w15:providerId="AD" w15:userId="S::jlackner@thedoctors.com::8e0aa940-bfd7-4850-89eb-ca2f03036d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F9"/>
    <w:rsid w:val="00014004"/>
    <w:rsid w:val="00215CA7"/>
    <w:rsid w:val="00222802"/>
    <w:rsid w:val="00266BF9"/>
    <w:rsid w:val="002841D0"/>
    <w:rsid w:val="0045105E"/>
    <w:rsid w:val="005720FC"/>
    <w:rsid w:val="006C15F9"/>
    <w:rsid w:val="00816FA3"/>
    <w:rsid w:val="008F2918"/>
    <w:rsid w:val="00994AD7"/>
    <w:rsid w:val="00AF11F3"/>
    <w:rsid w:val="00B85159"/>
    <w:rsid w:val="00BA6A1A"/>
    <w:rsid w:val="00BB269B"/>
    <w:rsid w:val="00BE7593"/>
    <w:rsid w:val="00C64A7B"/>
    <w:rsid w:val="00CC0545"/>
    <w:rsid w:val="00DA08CF"/>
    <w:rsid w:val="00E652B1"/>
    <w:rsid w:val="00EE7B49"/>
    <w:rsid w:val="00FA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C51E"/>
  <w15:chartTrackingRefBased/>
  <w15:docId w15:val="{59D410C9-AC4B-44BC-9FEF-92949524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5F9"/>
    <w:pPr>
      <w:ind w:left="720"/>
      <w:contextualSpacing/>
    </w:pPr>
  </w:style>
  <w:style w:type="character" w:styleId="Hyperlink">
    <w:name w:val="Hyperlink"/>
    <w:basedOn w:val="DefaultParagraphFont"/>
    <w:uiPriority w:val="99"/>
    <w:unhideWhenUsed/>
    <w:rsid w:val="006C15F9"/>
    <w:rPr>
      <w:color w:val="0000FF"/>
      <w:u w:val="single"/>
    </w:rPr>
  </w:style>
  <w:style w:type="paragraph" w:styleId="Footer">
    <w:name w:val="footer"/>
    <w:basedOn w:val="Normal"/>
    <w:link w:val="FooterChar"/>
    <w:uiPriority w:val="99"/>
    <w:unhideWhenUsed/>
    <w:rsid w:val="006C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5F9"/>
  </w:style>
  <w:style w:type="character" w:styleId="UnresolvedMention">
    <w:name w:val="Unresolved Mention"/>
    <w:basedOn w:val="DefaultParagraphFont"/>
    <w:uiPriority w:val="99"/>
    <w:semiHidden/>
    <w:unhideWhenUsed/>
    <w:rsid w:val="00C6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octors.com/articles/cultural-diversity-creates-language-barriers-reducing-claims-with-multilingual-patients/" TargetMode="External"/><Relationship Id="rId13" Type="http://schemas.openxmlformats.org/officeDocument/2006/relationships/hyperlink" Target="https://www.ahrq.gov/health-literacy/improve/precautions/index.html" TargetMode="External"/><Relationship Id="rId18" Type="http://schemas.openxmlformats.org/officeDocument/2006/relationships/hyperlink" Target="https://www.ncbi.nlm.nih.gov/pmc/articles/PMC604430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afp.org/journals/fpm/blogs/inpractice/entry/social_determinants.html" TargetMode="External"/><Relationship Id="rId12" Type="http://schemas.openxmlformats.org/officeDocument/2006/relationships/hyperlink" Target="https://www.thedoctors.com/articles/americans-with-disabilities-act-frequently-asked-questions/" TargetMode="External"/><Relationship Id="rId17" Type="http://schemas.openxmlformats.org/officeDocument/2006/relationships/hyperlink" Target="https://www.thedoctors.com/articles/americans-with-disabilities-act-frequently-asked-questions/" TargetMode="External"/><Relationship Id="rId2" Type="http://schemas.openxmlformats.org/officeDocument/2006/relationships/styles" Target="styles.xml"/><Relationship Id="rId16" Type="http://schemas.openxmlformats.org/officeDocument/2006/relationships/hyperlink" Target="https://www.thedoctors.com/articles/ada-accessibility-for-healthcare-websites-how-practices-can-avoid-suits-and-attract-patients/" TargetMode="External"/><Relationship Id="rId20" Type="http://schemas.openxmlformats.org/officeDocument/2006/relationships/hyperlink" Target="https://www.jointcommission.org/resources/news-and-multimedia/newsletters/newsletters/quick-safety/quick-safety-issue-23-implicit-bias-in-health-care/implicit-bias-in-health-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doctors.com/articles/ada-accessibility-for-healthcare-websites-how-practices-can-avoid-suits-and-attract-pati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0810730802281791" TargetMode="External"/><Relationship Id="rId23" Type="http://schemas.microsoft.com/office/2011/relationships/people" Target="people.xml"/><Relationship Id="rId10" Type="http://schemas.openxmlformats.org/officeDocument/2006/relationships/hyperlink" Target="https://www.cdc.gov/healthliteracy/learn/index.html" TargetMode="External"/><Relationship Id="rId19" Type="http://schemas.openxmlformats.org/officeDocument/2006/relationships/hyperlink" Target="https://www.aafp.org/journals/fpm/blogs/inpractice/entry/social_determinants.html" TargetMode="External"/><Relationship Id="rId4" Type="http://schemas.openxmlformats.org/officeDocument/2006/relationships/webSettings" Target="webSettings.xml"/><Relationship Id="rId9" Type="http://schemas.openxmlformats.org/officeDocument/2006/relationships/hyperlink" Target="https://www.thedoctors.com/articles/challenges-of-cultural-diversity-in-healthcare-protect-your-patients-and-yourself/" TargetMode="External"/><Relationship Id="rId14" Type="http://schemas.openxmlformats.org/officeDocument/2006/relationships/hyperlink" Target="https://www.ncbi.nlm.nih.gov/pmc/articles/PMC18315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Lackner, Johanna</dc:creator>
  <cp:keywords/>
  <dc:description/>
  <cp:lastModifiedBy>Lackner, Johanna</cp:lastModifiedBy>
  <cp:revision>2</cp:revision>
  <dcterms:created xsi:type="dcterms:W3CDTF">2023-12-20T23:10:00Z</dcterms:created>
  <dcterms:modified xsi:type="dcterms:W3CDTF">2023-12-20T23:10:00Z</dcterms:modified>
</cp:coreProperties>
</file>